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920B4" w14:textId="7FEA38A6" w:rsidR="009C4C60" w:rsidRPr="00B162FC" w:rsidRDefault="00B162FC">
      <w:pPr>
        <w:rPr>
          <w:b/>
          <w:bCs/>
          <w:sz w:val="24"/>
          <w:szCs w:val="24"/>
          <w:u w:val="single"/>
        </w:rPr>
      </w:pPr>
      <w:r w:rsidRPr="31CFD1EC">
        <w:rPr>
          <w:b/>
          <w:bCs/>
          <w:sz w:val="24"/>
          <w:szCs w:val="24"/>
          <w:u w:val="single"/>
        </w:rPr>
        <w:t>Green Living Fund 202</w:t>
      </w:r>
      <w:r w:rsidR="555E80A4" w:rsidRPr="31CFD1EC">
        <w:rPr>
          <w:b/>
          <w:bCs/>
          <w:sz w:val="24"/>
          <w:szCs w:val="24"/>
          <w:u w:val="single"/>
        </w:rPr>
        <w:t>5/26</w:t>
      </w:r>
    </w:p>
    <w:p w14:paraId="609AE22E" w14:textId="30E3E238" w:rsidR="00B162FC" w:rsidRDefault="00B162FC">
      <w:pPr>
        <w:rPr>
          <w:b/>
          <w:bCs/>
          <w:sz w:val="24"/>
          <w:szCs w:val="24"/>
          <w:u w:val="single"/>
        </w:rPr>
      </w:pPr>
      <w:r w:rsidRPr="00B162FC">
        <w:rPr>
          <w:b/>
          <w:bCs/>
          <w:sz w:val="24"/>
          <w:szCs w:val="24"/>
          <w:u w:val="single"/>
        </w:rPr>
        <w:t>Fund Guidance and Criteria</w:t>
      </w:r>
    </w:p>
    <w:p w14:paraId="74BB91F0" w14:textId="77777777" w:rsidR="00B162FC" w:rsidRDefault="00B162FC"/>
    <w:p w14:paraId="5CE86372" w14:textId="03A49C46" w:rsidR="00B162FC" w:rsidRDefault="00B162FC">
      <w:pPr>
        <w:rPr>
          <w:b/>
          <w:bCs/>
        </w:rPr>
      </w:pPr>
      <w:r w:rsidRPr="00B162FC">
        <w:rPr>
          <w:b/>
          <w:bCs/>
        </w:rPr>
        <w:t>Overview</w:t>
      </w:r>
    </w:p>
    <w:p w14:paraId="22ED9EFD" w14:textId="6D111F0F" w:rsidR="00984C67" w:rsidRPr="00984C67" w:rsidRDefault="569F5801" w:rsidP="00984C67">
      <w:r>
        <w:t>The Green Living Fund is a</w:t>
      </w:r>
      <w:r w:rsidR="6F6A05AD">
        <w:t>n</w:t>
      </w:r>
      <w:r>
        <w:t xml:space="preserve"> opportunity for community groups to apply for a grant to support new </w:t>
      </w:r>
      <w:r w:rsidR="55130728">
        <w:t>initiatives</w:t>
      </w:r>
      <w:r>
        <w:t xml:space="preserve"> that tackle climate-related </w:t>
      </w:r>
      <w:r w:rsidR="55130728">
        <w:t>priorities</w:t>
      </w:r>
      <w:r>
        <w:t xml:space="preserve"> within the community</w:t>
      </w:r>
      <w:r w:rsidR="312D6C76">
        <w:t>, while also</w:t>
      </w:r>
      <w:r>
        <w:t xml:space="preserve"> </w:t>
      </w:r>
      <w:r w:rsidR="1846D489">
        <w:t>helping</w:t>
      </w:r>
      <w:r>
        <w:t xml:space="preserve"> those </w:t>
      </w:r>
      <w:r w:rsidR="4BBBC9E7">
        <w:t>in</w:t>
      </w:r>
      <w:r>
        <w:t xml:space="preserve"> the community with the cost of living.</w:t>
      </w:r>
    </w:p>
    <w:p w14:paraId="3F7BF6AD" w14:textId="3D853E01" w:rsidR="00984C67" w:rsidRPr="00984C67" w:rsidRDefault="00984C67" w:rsidP="00984C67">
      <w:r>
        <w:t>Proposals should be designed in to fit within at least one of the following criteria:</w:t>
      </w:r>
    </w:p>
    <w:p w14:paraId="6D73BFAB" w14:textId="3EC4D5FD" w:rsidR="00984C67" w:rsidRDefault="185C28B7" w:rsidP="4DC35A87">
      <w:pPr>
        <w:numPr>
          <w:ilvl w:val="0"/>
          <w:numId w:val="1"/>
        </w:numPr>
        <w:rPr>
          <w:rFonts w:ascii="Segoe UI" w:eastAsia="Segoe UI" w:hAnsi="Segoe UI" w:cs="Segoe UI"/>
          <w:color w:val="000000" w:themeColor="text1"/>
        </w:rPr>
      </w:pPr>
      <w:r w:rsidRPr="4DC35A87">
        <w:rPr>
          <w:rFonts w:ascii="Segoe UI" w:eastAsia="Segoe UI" w:hAnsi="Segoe UI" w:cs="Segoe UI"/>
          <w:color w:val="000000" w:themeColor="text1"/>
          <w:sz w:val="21"/>
          <w:szCs w:val="21"/>
        </w:rPr>
        <w:t xml:space="preserve">Energy </w:t>
      </w:r>
      <w:r w:rsidR="5DDCAD12" w:rsidRPr="4DC35A87">
        <w:rPr>
          <w:rFonts w:ascii="Segoe UI" w:eastAsia="Segoe UI" w:hAnsi="Segoe UI" w:cs="Segoe UI"/>
          <w:color w:val="000000" w:themeColor="text1"/>
          <w:sz w:val="21"/>
          <w:szCs w:val="21"/>
        </w:rPr>
        <w:t xml:space="preserve">– e.g. </w:t>
      </w:r>
      <w:r w:rsidR="6D48EAAE" w:rsidRPr="4DC35A87">
        <w:rPr>
          <w:rFonts w:ascii="Segoe UI" w:eastAsia="Segoe UI" w:hAnsi="Segoe UI" w:cs="Segoe UI"/>
          <w:color w:val="000000" w:themeColor="text1"/>
          <w:sz w:val="21"/>
          <w:szCs w:val="21"/>
        </w:rPr>
        <w:t xml:space="preserve"> </w:t>
      </w:r>
      <w:r w:rsidRPr="4DC35A87">
        <w:rPr>
          <w:rFonts w:ascii="Segoe UI" w:eastAsia="Segoe UI" w:hAnsi="Segoe UI" w:cs="Segoe UI"/>
          <w:color w:val="000000" w:themeColor="text1"/>
          <w:sz w:val="21"/>
          <w:szCs w:val="21"/>
        </w:rPr>
        <w:t>reducing consumption, promoting efficiency</w:t>
      </w:r>
    </w:p>
    <w:p w14:paraId="5101E573" w14:textId="20521551" w:rsidR="185C28B7" w:rsidRDefault="185C28B7" w:rsidP="4DC35A87">
      <w:pPr>
        <w:pStyle w:val="ListParagraph"/>
        <w:numPr>
          <w:ilvl w:val="0"/>
          <w:numId w:val="1"/>
        </w:numPr>
        <w:shd w:val="clear" w:color="auto" w:fill="FFFFFF" w:themeFill="background1"/>
        <w:spacing w:after="0"/>
        <w:rPr>
          <w:rFonts w:ascii="Segoe UI" w:eastAsia="Segoe UI" w:hAnsi="Segoe UI" w:cs="Segoe UI"/>
          <w:color w:val="000000" w:themeColor="text1"/>
        </w:rPr>
      </w:pPr>
      <w:proofErr w:type="gramStart"/>
      <w:r w:rsidRPr="4DC35A87">
        <w:rPr>
          <w:rFonts w:ascii="Segoe UI" w:eastAsia="Segoe UI" w:hAnsi="Segoe UI" w:cs="Segoe UI"/>
          <w:color w:val="000000" w:themeColor="text1"/>
          <w:sz w:val="21"/>
          <w:szCs w:val="21"/>
        </w:rPr>
        <w:t xml:space="preserve">Transport </w:t>
      </w:r>
      <w:r w:rsidR="10DB6FC9" w:rsidRPr="4DC35A87">
        <w:rPr>
          <w:rFonts w:ascii="Segoe UI" w:eastAsia="Segoe UI" w:hAnsi="Segoe UI" w:cs="Segoe UI"/>
          <w:color w:val="000000" w:themeColor="text1"/>
          <w:sz w:val="21"/>
          <w:szCs w:val="21"/>
        </w:rPr>
        <w:t xml:space="preserve"> –</w:t>
      </w:r>
      <w:proofErr w:type="gramEnd"/>
      <w:r w:rsidR="10DB6FC9" w:rsidRPr="4DC35A87">
        <w:rPr>
          <w:rFonts w:ascii="Segoe UI" w:eastAsia="Segoe UI" w:hAnsi="Segoe UI" w:cs="Segoe UI"/>
          <w:color w:val="000000" w:themeColor="text1"/>
          <w:sz w:val="21"/>
          <w:szCs w:val="21"/>
        </w:rPr>
        <w:t xml:space="preserve"> e.g. </w:t>
      </w:r>
      <w:r w:rsidRPr="4DC35A87">
        <w:rPr>
          <w:rFonts w:ascii="Segoe UI" w:eastAsia="Segoe UI" w:hAnsi="Segoe UI" w:cs="Segoe UI"/>
          <w:color w:val="000000" w:themeColor="text1"/>
          <w:sz w:val="21"/>
          <w:szCs w:val="21"/>
        </w:rPr>
        <w:t>encouraging active travel, decarbonising transport</w:t>
      </w:r>
    </w:p>
    <w:p w14:paraId="2BEAD2ED" w14:textId="08088611" w:rsidR="185C28B7" w:rsidRDefault="185C28B7" w:rsidP="4DC35A87">
      <w:pPr>
        <w:pStyle w:val="ListParagraph"/>
        <w:numPr>
          <w:ilvl w:val="0"/>
          <w:numId w:val="1"/>
        </w:numPr>
        <w:shd w:val="clear" w:color="auto" w:fill="FFFFFF" w:themeFill="background1"/>
        <w:spacing w:after="0"/>
        <w:rPr>
          <w:rFonts w:ascii="Segoe UI" w:eastAsia="Segoe UI" w:hAnsi="Segoe UI" w:cs="Segoe UI"/>
          <w:color w:val="000000" w:themeColor="text1"/>
          <w:sz w:val="21"/>
          <w:szCs w:val="21"/>
        </w:rPr>
      </w:pPr>
      <w:proofErr w:type="gramStart"/>
      <w:r w:rsidRPr="4DC35A87">
        <w:rPr>
          <w:rFonts w:ascii="Segoe UI" w:eastAsia="Segoe UI" w:hAnsi="Segoe UI" w:cs="Segoe UI"/>
          <w:color w:val="000000" w:themeColor="text1"/>
          <w:sz w:val="21"/>
          <w:szCs w:val="21"/>
        </w:rPr>
        <w:t xml:space="preserve">Waste </w:t>
      </w:r>
      <w:r w:rsidR="6179868F" w:rsidRPr="4DC35A87">
        <w:rPr>
          <w:rFonts w:ascii="Segoe UI" w:eastAsia="Segoe UI" w:hAnsi="Segoe UI" w:cs="Segoe UI"/>
          <w:color w:val="000000" w:themeColor="text1"/>
          <w:sz w:val="21"/>
          <w:szCs w:val="21"/>
        </w:rPr>
        <w:t xml:space="preserve"> –</w:t>
      </w:r>
      <w:proofErr w:type="gramEnd"/>
      <w:r w:rsidR="6179868F" w:rsidRPr="4DC35A87">
        <w:rPr>
          <w:rFonts w:ascii="Segoe UI" w:eastAsia="Segoe UI" w:hAnsi="Segoe UI" w:cs="Segoe UI"/>
          <w:color w:val="000000" w:themeColor="text1"/>
          <w:sz w:val="21"/>
          <w:szCs w:val="21"/>
        </w:rPr>
        <w:t xml:space="preserve"> e.g. </w:t>
      </w:r>
      <w:r w:rsidR="6D48EAAE" w:rsidRPr="4DC35A87">
        <w:rPr>
          <w:rFonts w:ascii="Segoe UI" w:eastAsia="Segoe UI" w:hAnsi="Segoe UI" w:cs="Segoe UI"/>
          <w:color w:val="000000" w:themeColor="text1"/>
          <w:sz w:val="21"/>
          <w:szCs w:val="21"/>
        </w:rPr>
        <w:t>reduc</w:t>
      </w:r>
      <w:r w:rsidR="36333143" w:rsidRPr="4DC35A87">
        <w:rPr>
          <w:rFonts w:ascii="Segoe UI" w:eastAsia="Segoe UI" w:hAnsi="Segoe UI" w:cs="Segoe UI"/>
          <w:color w:val="000000" w:themeColor="text1"/>
          <w:sz w:val="21"/>
          <w:szCs w:val="21"/>
        </w:rPr>
        <w:t>ing</w:t>
      </w:r>
      <w:r w:rsidR="6D48EAAE" w:rsidRPr="4DC35A87">
        <w:rPr>
          <w:rFonts w:ascii="Segoe UI" w:eastAsia="Segoe UI" w:hAnsi="Segoe UI" w:cs="Segoe UI"/>
          <w:color w:val="000000" w:themeColor="text1"/>
          <w:sz w:val="21"/>
          <w:szCs w:val="21"/>
        </w:rPr>
        <w:t>, reus</w:t>
      </w:r>
      <w:r w:rsidR="34BECE76" w:rsidRPr="4DC35A87">
        <w:rPr>
          <w:rFonts w:ascii="Segoe UI" w:eastAsia="Segoe UI" w:hAnsi="Segoe UI" w:cs="Segoe UI"/>
          <w:color w:val="000000" w:themeColor="text1"/>
          <w:sz w:val="21"/>
          <w:szCs w:val="21"/>
        </w:rPr>
        <w:t>ing</w:t>
      </w:r>
      <w:r w:rsidRPr="4DC35A87">
        <w:rPr>
          <w:rFonts w:ascii="Segoe UI" w:eastAsia="Segoe UI" w:hAnsi="Segoe UI" w:cs="Segoe UI"/>
          <w:color w:val="000000" w:themeColor="text1"/>
          <w:sz w:val="21"/>
          <w:szCs w:val="21"/>
        </w:rPr>
        <w:t xml:space="preserve"> and recycl</w:t>
      </w:r>
      <w:r w:rsidR="41479E75" w:rsidRPr="4DC35A87">
        <w:rPr>
          <w:rFonts w:ascii="Segoe UI" w:eastAsia="Segoe UI" w:hAnsi="Segoe UI" w:cs="Segoe UI"/>
          <w:color w:val="000000" w:themeColor="text1"/>
          <w:sz w:val="21"/>
          <w:szCs w:val="21"/>
        </w:rPr>
        <w:t>ing, repairing, sharing</w:t>
      </w:r>
    </w:p>
    <w:p w14:paraId="74960E0E" w14:textId="4046E412" w:rsidR="185C28B7" w:rsidRDefault="185C28B7" w:rsidP="4DC35A87">
      <w:pPr>
        <w:pStyle w:val="ListParagraph"/>
        <w:numPr>
          <w:ilvl w:val="0"/>
          <w:numId w:val="1"/>
        </w:numPr>
        <w:shd w:val="clear" w:color="auto" w:fill="FFFFFF" w:themeFill="background1"/>
        <w:spacing w:after="0"/>
        <w:rPr>
          <w:rFonts w:ascii="Segoe UI" w:eastAsia="Segoe UI" w:hAnsi="Segoe UI" w:cs="Segoe UI"/>
          <w:color w:val="000000" w:themeColor="text1"/>
        </w:rPr>
      </w:pPr>
      <w:r w:rsidRPr="4DC35A87">
        <w:rPr>
          <w:rFonts w:ascii="Segoe UI" w:eastAsia="Segoe UI" w:hAnsi="Segoe UI" w:cs="Segoe UI"/>
          <w:color w:val="000000" w:themeColor="text1"/>
          <w:sz w:val="21"/>
          <w:szCs w:val="21"/>
        </w:rPr>
        <w:t>Resilience</w:t>
      </w:r>
      <w:r w:rsidR="733CF192" w:rsidRPr="4DC35A87">
        <w:rPr>
          <w:rFonts w:ascii="Segoe UI" w:eastAsia="Segoe UI" w:hAnsi="Segoe UI" w:cs="Segoe UI"/>
          <w:color w:val="000000" w:themeColor="text1"/>
          <w:sz w:val="21"/>
          <w:szCs w:val="21"/>
        </w:rPr>
        <w:t xml:space="preserve"> – e.g. </w:t>
      </w:r>
      <w:r w:rsidRPr="4DC35A87">
        <w:rPr>
          <w:rFonts w:ascii="Segoe UI" w:eastAsia="Segoe UI" w:hAnsi="Segoe UI" w:cs="Segoe UI"/>
          <w:color w:val="000000" w:themeColor="text1"/>
          <w:sz w:val="21"/>
          <w:szCs w:val="21"/>
        </w:rPr>
        <w:t>adapting to changing conditions – including flooding, drought</w:t>
      </w:r>
      <w:r>
        <w:br/>
      </w:r>
      <w:r w:rsidRPr="4DC35A87">
        <w:rPr>
          <w:rFonts w:ascii="Segoe UI" w:eastAsia="Segoe UI" w:hAnsi="Segoe UI" w:cs="Segoe UI"/>
          <w:color w:val="000000" w:themeColor="text1"/>
          <w:sz w:val="21"/>
          <w:szCs w:val="21"/>
        </w:rPr>
        <w:t>and heat</w:t>
      </w:r>
    </w:p>
    <w:p w14:paraId="20352059" w14:textId="1E702110" w:rsidR="185C28B7" w:rsidRDefault="185C28B7" w:rsidP="4DC35A87">
      <w:pPr>
        <w:pStyle w:val="ListParagraph"/>
        <w:numPr>
          <w:ilvl w:val="0"/>
          <w:numId w:val="1"/>
        </w:numPr>
        <w:shd w:val="clear" w:color="auto" w:fill="FFFFFF" w:themeFill="background1"/>
        <w:spacing w:after="0"/>
        <w:rPr>
          <w:rFonts w:ascii="Segoe UI" w:eastAsia="Segoe UI" w:hAnsi="Segoe UI" w:cs="Segoe UI"/>
          <w:color w:val="000000" w:themeColor="text1"/>
          <w:sz w:val="21"/>
          <w:szCs w:val="21"/>
        </w:rPr>
      </w:pPr>
      <w:r w:rsidRPr="4DC35A87">
        <w:rPr>
          <w:rFonts w:ascii="Segoe UI" w:eastAsia="Segoe UI" w:hAnsi="Segoe UI" w:cs="Segoe UI"/>
          <w:color w:val="000000" w:themeColor="text1"/>
          <w:sz w:val="21"/>
          <w:szCs w:val="21"/>
        </w:rPr>
        <w:t>Nature</w:t>
      </w:r>
      <w:r w:rsidR="6F736334" w:rsidRPr="4DC35A87">
        <w:rPr>
          <w:rFonts w:ascii="Segoe UI" w:eastAsia="Segoe UI" w:hAnsi="Segoe UI" w:cs="Segoe UI"/>
          <w:color w:val="000000" w:themeColor="text1"/>
          <w:sz w:val="21"/>
          <w:szCs w:val="21"/>
        </w:rPr>
        <w:t xml:space="preserve"> – e.g. </w:t>
      </w:r>
      <w:r w:rsidRPr="4DC35A87">
        <w:rPr>
          <w:rFonts w:ascii="Segoe UI" w:eastAsia="Segoe UI" w:hAnsi="Segoe UI" w:cs="Segoe UI"/>
          <w:color w:val="000000" w:themeColor="text1"/>
          <w:sz w:val="21"/>
          <w:szCs w:val="21"/>
        </w:rPr>
        <w:t>improving greenspace, increasing biodiversity, local food growing</w:t>
      </w:r>
    </w:p>
    <w:p w14:paraId="6A4184B7" w14:textId="27499AF7" w:rsidR="185C28B7" w:rsidRDefault="185C28B7" w:rsidP="4DC35A87">
      <w:pPr>
        <w:pStyle w:val="ListParagraph"/>
        <w:numPr>
          <w:ilvl w:val="0"/>
          <w:numId w:val="1"/>
        </w:numPr>
        <w:shd w:val="clear" w:color="auto" w:fill="FFFFFF" w:themeFill="background1"/>
        <w:spacing w:after="0"/>
        <w:rPr>
          <w:rFonts w:ascii="Segoe UI" w:eastAsia="Segoe UI" w:hAnsi="Segoe UI" w:cs="Segoe UI"/>
          <w:color w:val="000000" w:themeColor="text1"/>
        </w:rPr>
      </w:pPr>
      <w:r w:rsidRPr="4DC35A87">
        <w:rPr>
          <w:rFonts w:ascii="Segoe UI" w:eastAsia="Segoe UI" w:hAnsi="Segoe UI" w:cs="Segoe UI"/>
          <w:color w:val="000000" w:themeColor="text1"/>
          <w:sz w:val="21"/>
          <w:szCs w:val="21"/>
        </w:rPr>
        <w:t>Engagement</w:t>
      </w:r>
      <w:r w:rsidR="6BEC8615" w:rsidRPr="4DC35A87">
        <w:rPr>
          <w:rFonts w:ascii="Segoe UI" w:eastAsia="Segoe UI" w:hAnsi="Segoe UI" w:cs="Segoe UI"/>
          <w:color w:val="000000" w:themeColor="text1"/>
          <w:sz w:val="21"/>
          <w:szCs w:val="21"/>
        </w:rPr>
        <w:t xml:space="preserve"> – e.g. </w:t>
      </w:r>
      <w:r w:rsidRPr="4DC35A87">
        <w:rPr>
          <w:rFonts w:ascii="Segoe UI" w:eastAsia="Segoe UI" w:hAnsi="Segoe UI" w:cs="Segoe UI"/>
          <w:color w:val="000000" w:themeColor="text1"/>
          <w:sz w:val="21"/>
          <w:szCs w:val="21"/>
        </w:rPr>
        <w:t>increasing public awareness and engaging communities</w:t>
      </w:r>
    </w:p>
    <w:p w14:paraId="0299BFE5" w14:textId="65AE1668" w:rsidR="1F6C5B8A" w:rsidRDefault="1F6C5B8A" w:rsidP="4DC35A87">
      <w:pPr>
        <w:pStyle w:val="ListParagraph"/>
        <w:shd w:val="clear" w:color="auto" w:fill="FFFFFF" w:themeFill="background1"/>
        <w:spacing w:after="0"/>
        <w:rPr>
          <w:rFonts w:ascii="Segoe UI" w:eastAsia="Segoe UI" w:hAnsi="Segoe UI" w:cs="Segoe UI"/>
          <w:color w:val="000000" w:themeColor="text1"/>
        </w:rPr>
      </w:pPr>
    </w:p>
    <w:p w14:paraId="2CB3301C" w14:textId="7A9DC55A" w:rsidR="00B162FC" w:rsidRDefault="04325548" w:rsidP="00984C67">
      <w:r>
        <w:t>The proposals will then be screened by an expert panel to confirm feasibility before the proposals go forward to the public voting stage, where members of the local community will be able to choose which proposals will receive funding.</w:t>
      </w:r>
      <w:r w:rsidR="6DFD6AFA">
        <w:t xml:space="preserve"> </w:t>
      </w:r>
      <w:r w:rsidR="4197946A">
        <w:t xml:space="preserve">Final evaluation of the proposals will be made 50% on technical evaluation and 50% on community voting. </w:t>
      </w:r>
      <w:r w:rsidR="2EE8850D" w:rsidRPr="4F205D2A">
        <w:rPr>
          <w:rFonts w:ascii="Calibri" w:eastAsia="Calibri" w:hAnsi="Calibri" w:cs="Calibri"/>
        </w:rPr>
        <w:t>Th</w:t>
      </w:r>
      <w:r w:rsidR="2DBC4DEE" w:rsidRPr="4F205D2A">
        <w:rPr>
          <w:rFonts w:ascii="Calibri" w:eastAsia="Calibri" w:hAnsi="Calibri" w:cs="Calibri"/>
        </w:rPr>
        <w:t xml:space="preserve">e technical </w:t>
      </w:r>
      <w:r w:rsidR="2EE8850D" w:rsidRPr="7D78FB49">
        <w:rPr>
          <w:rFonts w:ascii="Calibri" w:eastAsia="Calibri" w:hAnsi="Calibri" w:cs="Calibri"/>
        </w:rPr>
        <w:t>scoring</w:t>
      </w:r>
      <w:r w:rsidR="2EE8850D" w:rsidRPr="4F205D2A">
        <w:rPr>
          <w:rFonts w:ascii="Calibri" w:eastAsia="Calibri" w:hAnsi="Calibri" w:cs="Calibri"/>
        </w:rPr>
        <w:t xml:space="preserve"> will be based on the following criteria:</w:t>
      </w:r>
      <w:r w:rsidR="00984C67">
        <w:br/>
      </w:r>
      <w:r w:rsidR="2EE8850D" w:rsidRPr="4F205D2A">
        <w:rPr>
          <w:rFonts w:ascii="Calibri" w:eastAsia="Calibri" w:hAnsi="Calibri" w:cs="Calibri"/>
        </w:rPr>
        <w:t xml:space="preserve">o Expected climate change impact – 30% </w:t>
      </w:r>
      <w:r w:rsidR="00984C67">
        <w:br/>
      </w:r>
      <w:r w:rsidR="2EE8850D" w:rsidRPr="4F205D2A">
        <w:rPr>
          <w:rFonts w:ascii="Calibri" w:eastAsia="Calibri" w:hAnsi="Calibri" w:cs="Calibri"/>
        </w:rPr>
        <w:t xml:space="preserve">o Expected cost of living impact – 30% </w:t>
      </w:r>
      <w:r w:rsidR="00984C67">
        <w:br/>
      </w:r>
      <w:proofErr w:type="spellStart"/>
      <w:r w:rsidR="2EE8850D" w:rsidRPr="4F205D2A">
        <w:rPr>
          <w:rFonts w:ascii="Calibri" w:eastAsia="Calibri" w:hAnsi="Calibri" w:cs="Calibri"/>
        </w:rPr>
        <w:t>o</w:t>
      </w:r>
      <w:proofErr w:type="spellEnd"/>
      <w:r w:rsidR="2EE8850D" w:rsidRPr="4F205D2A">
        <w:rPr>
          <w:rFonts w:ascii="Calibri" w:eastAsia="Calibri" w:hAnsi="Calibri" w:cs="Calibri"/>
        </w:rPr>
        <w:t xml:space="preserve"> Wider community benefits - 20% </w:t>
      </w:r>
      <w:r w:rsidR="00984C67">
        <w:br/>
      </w:r>
      <w:proofErr w:type="spellStart"/>
      <w:r w:rsidR="2EE8850D" w:rsidRPr="4F205D2A">
        <w:rPr>
          <w:rFonts w:ascii="Calibri" w:eastAsia="Calibri" w:hAnsi="Calibri" w:cs="Calibri"/>
        </w:rPr>
        <w:t>o</w:t>
      </w:r>
      <w:proofErr w:type="spellEnd"/>
      <w:r w:rsidR="2EE8850D" w:rsidRPr="4F205D2A">
        <w:rPr>
          <w:rFonts w:ascii="Calibri" w:eastAsia="Calibri" w:hAnsi="Calibri" w:cs="Calibri"/>
        </w:rPr>
        <w:t xml:space="preserve"> Value for Money - 20%</w:t>
      </w:r>
    </w:p>
    <w:p w14:paraId="0CB061D0" w14:textId="35BF5463" w:rsidR="74AD641D" w:rsidRDefault="74AD641D" w:rsidP="4DC35A87"/>
    <w:p w14:paraId="55C8C91F" w14:textId="646EB0D6" w:rsidR="49A7FA83" w:rsidRDefault="49A7FA83" w:rsidP="294A96A1">
      <w:pPr>
        <w:rPr>
          <w:b/>
          <w:bCs/>
        </w:rPr>
      </w:pPr>
      <w:r w:rsidRPr="4DC35A87">
        <w:rPr>
          <w:b/>
          <w:bCs/>
        </w:rPr>
        <w:t xml:space="preserve">Who can apply? </w:t>
      </w:r>
    </w:p>
    <w:p w14:paraId="55A66AF7" w14:textId="63B2B771" w:rsidR="6BFBCC57" w:rsidRDefault="75AFE61F" w:rsidP="46ABF0EE">
      <w:r>
        <w:t xml:space="preserve">The </w:t>
      </w:r>
      <w:r w:rsidR="10B8B2B1">
        <w:t>funding is available for</w:t>
      </w:r>
      <w:r w:rsidR="6B502E21">
        <w:t xml:space="preserve"> all types of</w:t>
      </w:r>
      <w:r w:rsidR="10B8B2B1">
        <w:t xml:space="preserve"> </w:t>
      </w:r>
      <w:r w:rsidR="4D783ADD">
        <w:t>community organisations</w:t>
      </w:r>
      <w:r w:rsidR="78AB08FF">
        <w:t xml:space="preserve"> in</w:t>
      </w:r>
      <w:r w:rsidR="17689D9B">
        <w:t>cl</w:t>
      </w:r>
      <w:r w:rsidR="78AB08FF">
        <w:t>uding</w:t>
      </w:r>
      <w:r w:rsidR="16A521FB">
        <w:t>, but not limited to</w:t>
      </w:r>
      <w:r w:rsidR="78AB08FF">
        <w:t xml:space="preserve"> </w:t>
      </w:r>
      <w:r w:rsidR="4D783ADD">
        <w:t>community</w:t>
      </w:r>
      <w:r w:rsidR="3816486C">
        <w:t xml:space="preserve"> </w:t>
      </w:r>
      <w:r w:rsidR="79621ED2">
        <w:t>groups</w:t>
      </w:r>
      <w:r w:rsidR="7BB239DB">
        <w:t xml:space="preserve">, community councils and </w:t>
      </w:r>
      <w:r w:rsidR="4D783ADD">
        <w:t>charities</w:t>
      </w:r>
      <w:r w:rsidR="5E58ABD4">
        <w:t xml:space="preserve">.  Groups </w:t>
      </w:r>
      <w:proofErr w:type="gramStart"/>
      <w:r w:rsidR="5E58ABD4">
        <w:t xml:space="preserve">are </w:t>
      </w:r>
      <w:r w:rsidR="477EC8E3">
        <w:t>able to</w:t>
      </w:r>
      <w:proofErr w:type="gramEnd"/>
      <w:r w:rsidR="477EC8E3">
        <w:t xml:space="preserve"> submit a joint application. </w:t>
      </w:r>
    </w:p>
    <w:p w14:paraId="5B6C7A73" w14:textId="5888F692" w:rsidR="007D3700" w:rsidRDefault="007D3700" w:rsidP="46ABF0EE">
      <w:r>
        <w:t>Groups who were s</w:t>
      </w:r>
      <w:r w:rsidRPr="538C7C83">
        <w:rPr>
          <w:rFonts w:eastAsiaTheme="minorEastAsia"/>
        </w:rPr>
        <w:t>uccessful for Green Living Fund Round 1 funding are eligible to apply again provided the funding will allow a new phase of the project to continue or will provide additionality to what was previously delivered</w:t>
      </w:r>
    </w:p>
    <w:p w14:paraId="0FB3E911" w14:textId="2B34E093" w:rsidR="009F0E6C" w:rsidRDefault="006AD49F" w:rsidP="46ABF0EE">
      <w:r w:rsidRPr="007D3700">
        <w:t>We can’t accept applications from:</w:t>
      </w:r>
      <w:r>
        <w:t xml:space="preserve"> Individuals, Sole Traders, Schools, Statutory Bodies, Companies that can pay profits to directors, shareholders or members (including Companies Limited by Shares), Organisations with religious or political associations where there are restrictions on usage or availability.  </w:t>
      </w:r>
    </w:p>
    <w:p w14:paraId="268F1ED7" w14:textId="44FA90EF" w:rsidR="15BAB8F9" w:rsidRDefault="15BAB8F9" w:rsidP="46ABF0EE">
      <w:r>
        <w:t xml:space="preserve">If you have an idea you would like to implement, but not part of an eligible organisation please contact </w:t>
      </w:r>
      <w:hyperlink r:id="rId10">
        <w:r w:rsidRPr="797E3C75">
          <w:rPr>
            <w:rStyle w:val="Hyperlink"/>
          </w:rPr>
          <w:t>climatechange@pkc.gov.uk</w:t>
        </w:r>
      </w:hyperlink>
      <w:r>
        <w:t xml:space="preserve"> or contact  </w:t>
      </w:r>
      <w:hyperlink r:id="rId11">
        <w:r w:rsidRPr="797E3C75">
          <w:rPr>
            <w:rStyle w:val="Hyperlink"/>
          </w:rPr>
          <w:t>Perth &amp; K</w:t>
        </w:r>
        <w:r w:rsidR="2E2D07DD" w:rsidRPr="797E3C75">
          <w:rPr>
            <w:rStyle w:val="Hyperlink"/>
          </w:rPr>
          <w:t>inross Climate Connect</w:t>
        </w:r>
      </w:hyperlink>
    </w:p>
    <w:p w14:paraId="35D84E0A" w14:textId="772658A5" w:rsidR="75C0B9FE" w:rsidRDefault="75C0B9FE" w:rsidP="75C0B9FE">
      <w:pPr>
        <w:rPr>
          <w:b/>
          <w:bCs/>
        </w:rPr>
      </w:pPr>
    </w:p>
    <w:p w14:paraId="096FFFA4" w14:textId="59A7B77C" w:rsidR="75C0B9FE" w:rsidRDefault="75C0B9FE" w:rsidP="75C0B9FE">
      <w:pPr>
        <w:rPr>
          <w:b/>
          <w:bCs/>
        </w:rPr>
      </w:pPr>
    </w:p>
    <w:p w14:paraId="6B37063A" w14:textId="037E8F90" w:rsidR="168EC7EF" w:rsidRDefault="397876C1" w:rsidP="12B905F6">
      <w:pPr>
        <w:rPr>
          <w:b/>
          <w:bCs/>
        </w:rPr>
      </w:pPr>
      <w:r w:rsidRPr="4DC35A87">
        <w:rPr>
          <w:b/>
          <w:bCs/>
        </w:rPr>
        <w:t>Funds available per Council Ward</w:t>
      </w:r>
    </w:p>
    <w:p w14:paraId="46DE70BD" w14:textId="0631D481" w:rsidR="00984C67" w:rsidRDefault="00984C67" w:rsidP="00984C67">
      <w:proofErr w:type="gramStart"/>
      <w:r>
        <w:t>For the purpose of</w:t>
      </w:r>
      <w:proofErr w:type="gramEnd"/>
      <w:r>
        <w:t xml:space="preserve"> localising the decision</w:t>
      </w:r>
      <w:r w:rsidR="57084079">
        <w:t xml:space="preserve"> </w:t>
      </w:r>
      <w:proofErr w:type="gramStart"/>
      <w:r>
        <w:t>making ,</w:t>
      </w:r>
      <w:proofErr w:type="gramEnd"/>
      <w:r>
        <w:t xml:space="preserve"> the funds available </w:t>
      </w:r>
      <w:r w:rsidR="113356D6">
        <w:t>will be divided across Council wards</w:t>
      </w:r>
      <w:r>
        <w:t>.</w:t>
      </w:r>
      <w:r w:rsidR="547F394A">
        <w:t xml:space="preserve">  The projects for each ward will be voted on by residents within each ward community. </w:t>
      </w:r>
      <w:r>
        <w:t xml:space="preserve"> The total funds available for each ward, along with their respective council wards is detailed below.</w:t>
      </w:r>
    </w:p>
    <w:tbl>
      <w:tblPr>
        <w:tblStyle w:val="GridTable1Light"/>
        <w:tblW w:w="6162" w:type="dxa"/>
        <w:tblLook w:val="04A0" w:firstRow="1" w:lastRow="0" w:firstColumn="1" w:lastColumn="0" w:noHBand="0" w:noVBand="1"/>
      </w:tblPr>
      <w:tblGrid>
        <w:gridCol w:w="3081"/>
        <w:gridCol w:w="3081"/>
      </w:tblGrid>
      <w:tr w:rsidR="007E7F7B" w14:paraId="7DF865D8" w14:textId="77777777" w:rsidTr="160B5C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1" w:type="dxa"/>
          </w:tcPr>
          <w:p w14:paraId="34CFA1A8" w14:textId="47502F58" w:rsidR="007E7F7B" w:rsidRDefault="007E7F7B" w:rsidP="00984C67">
            <w:r>
              <w:t>Council Wards</w:t>
            </w:r>
          </w:p>
        </w:tc>
        <w:tc>
          <w:tcPr>
            <w:tcW w:w="3081" w:type="dxa"/>
          </w:tcPr>
          <w:p w14:paraId="1C798BE4" w14:textId="36B439D8" w:rsidR="007E7F7B" w:rsidRDefault="007E7F7B" w:rsidP="00984C67">
            <w:pPr>
              <w:cnfStyle w:val="100000000000" w:firstRow="1" w:lastRow="0" w:firstColumn="0" w:lastColumn="0" w:oddVBand="0" w:evenVBand="0" w:oddHBand="0" w:evenHBand="0" w:firstRowFirstColumn="0" w:firstRowLastColumn="0" w:lastRowFirstColumn="0" w:lastRowLastColumn="0"/>
            </w:pPr>
            <w:r>
              <w:t>Total Funds Available</w:t>
            </w:r>
          </w:p>
        </w:tc>
      </w:tr>
      <w:tr w:rsidR="007E7F7B" w14:paraId="7A02C571"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59458CA7" w14:textId="4013DE8A" w:rsidR="007E7F7B" w:rsidRDefault="007E7F7B" w:rsidP="00984C67">
            <w:r>
              <w:t>Carse of Gowrie</w:t>
            </w:r>
          </w:p>
        </w:tc>
        <w:tc>
          <w:tcPr>
            <w:tcW w:w="3081" w:type="dxa"/>
          </w:tcPr>
          <w:p w14:paraId="5C31B53D" w14:textId="04E18625" w:rsidR="007E7F7B" w:rsidRDefault="51E8A972" w:rsidP="00984C67">
            <w:pPr>
              <w:cnfStyle w:val="000000000000" w:firstRow="0" w:lastRow="0" w:firstColumn="0" w:lastColumn="0" w:oddVBand="0" w:evenVBand="0" w:oddHBand="0" w:evenHBand="0" w:firstRowFirstColumn="0" w:firstRowLastColumn="0" w:lastRowFirstColumn="0" w:lastRowLastColumn="0"/>
            </w:pPr>
            <w:r>
              <w:t>£14,902.18</w:t>
            </w:r>
          </w:p>
        </w:tc>
      </w:tr>
      <w:tr w:rsidR="4FC266DD" w14:paraId="7AB9965B"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35A63FE1" w14:textId="09AE0AA4" w:rsidR="32FD74ED" w:rsidRDefault="32FD74ED">
            <w:r>
              <w:t>Strathmore</w:t>
            </w:r>
          </w:p>
        </w:tc>
        <w:tc>
          <w:tcPr>
            <w:tcW w:w="3081" w:type="dxa"/>
          </w:tcPr>
          <w:p w14:paraId="0781B373" w14:textId="462FE4E9" w:rsidR="4FC266DD" w:rsidRDefault="67AC2E64" w:rsidP="123DAF58">
            <w:pPr>
              <w:cnfStyle w:val="000000000000" w:firstRow="0" w:lastRow="0" w:firstColumn="0" w:lastColumn="0" w:oddVBand="0" w:evenVBand="0" w:oddHBand="0" w:evenHBand="0" w:firstRowFirstColumn="0" w:firstRowLastColumn="0" w:lastRowFirstColumn="0" w:lastRowLastColumn="0"/>
            </w:pPr>
            <w:r>
              <w:t>£18,573.47</w:t>
            </w:r>
          </w:p>
        </w:tc>
      </w:tr>
      <w:tr w:rsidR="4FC266DD" w14:paraId="43AD1DD9"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3E950A63" w14:textId="4DD3E510" w:rsidR="32FD74ED" w:rsidRDefault="32FD74ED">
            <w:r>
              <w:t>Blairgowrie and the Glens</w:t>
            </w:r>
          </w:p>
        </w:tc>
        <w:tc>
          <w:tcPr>
            <w:tcW w:w="3081" w:type="dxa"/>
          </w:tcPr>
          <w:p w14:paraId="0F9AC238" w14:textId="1FC620DD" w:rsidR="4FC266DD" w:rsidRDefault="547C4408" w:rsidP="123DAF58">
            <w:pPr>
              <w:cnfStyle w:val="000000000000" w:firstRow="0" w:lastRow="0" w:firstColumn="0" w:lastColumn="0" w:oddVBand="0" w:evenVBand="0" w:oddHBand="0" w:evenHBand="0" w:firstRowFirstColumn="0" w:firstRowLastColumn="0" w:lastRowFirstColumn="0" w:lastRowLastColumn="0"/>
            </w:pPr>
            <w:r>
              <w:t>£15,784.56</w:t>
            </w:r>
          </w:p>
        </w:tc>
      </w:tr>
      <w:tr w:rsidR="007E7F7B" w14:paraId="7173976E"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35A71679" w14:textId="1D344D44" w:rsidR="007E7F7B" w:rsidRDefault="007E7F7B" w:rsidP="00984C67">
            <w:r>
              <w:t>Highland</w:t>
            </w:r>
          </w:p>
        </w:tc>
        <w:tc>
          <w:tcPr>
            <w:tcW w:w="3081" w:type="dxa"/>
          </w:tcPr>
          <w:p w14:paraId="6615E809" w14:textId="2724C6DB" w:rsidR="007E7F7B" w:rsidRDefault="007E7F7B" w:rsidP="00984C67">
            <w:pPr>
              <w:cnfStyle w:val="000000000000" w:firstRow="0" w:lastRow="0" w:firstColumn="0" w:lastColumn="0" w:oddVBand="0" w:evenVBand="0" w:oddHBand="0" w:evenHBand="0" w:firstRowFirstColumn="0" w:firstRowLastColumn="0" w:lastRowFirstColumn="0" w:lastRowLastColumn="0"/>
            </w:pPr>
            <w:r>
              <w:t>£1</w:t>
            </w:r>
            <w:r w:rsidR="3C548836">
              <w:t>4,247.01</w:t>
            </w:r>
          </w:p>
        </w:tc>
      </w:tr>
      <w:tr w:rsidR="007E7F7B" w14:paraId="1124F5E9"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65403C87" w14:textId="7C0889B1" w:rsidR="007E7F7B" w:rsidRDefault="007E7F7B" w:rsidP="00984C67">
            <w:proofErr w:type="spellStart"/>
            <w:r>
              <w:t>Strathtay</w:t>
            </w:r>
            <w:proofErr w:type="spellEnd"/>
          </w:p>
        </w:tc>
        <w:tc>
          <w:tcPr>
            <w:tcW w:w="3081" w:type="dxa"/>
          </w:tcPr>
          <w:p w14:paraId="6C5EEFDE" w14:textId="2CDD64CB" w:rsidR="007E7F7B" w:rsidRDefault="007E7F7B" w:rsidP="00984C67">
            <w:pPr>
              <w:cnfStyle w:val="000000000000" w:firstRow="0" w:lastRow="0" w:firstColumn="0" w:lastColumn="0" w:oddVBand="0" w:evenVBand="0" w:oddHBand="0" w:evenHBand="0" w:firstRowFirstColumn="0" w:firstRowLastColumn="0" w:lastRowFirstColumn="0" w:lastRowLastColumn="0"/>
            </w:pPr>
            <w:r>
              <w:t>£</w:t>
            </w:r>
            <w:r w:rsidR="6D7B25F2">
              <w:t>16,482.78</w:t>
            </w:r>
          </w:p>
        </w:tc>
      </w:tr>
      <w:tr w:rsidR="007E7F7B" w14:paraId="307103ED"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19A29850" w14:textId="63B43FC9" w:rsidR="007E7F7B" w:rsidRDefault="007E7F7B" w:rsidP="00984C67">
            <w:r>
              <w:t>Strathearn</w:t>
            </w:r>
          </w:p>
        </w:tc>
        <w:tc>
          <w:tcPr>
            <w:tcW w:w="3081" w:type="dxa"/>
          </w:tcPr>
          <w:p w14:paraId="0DB9EACA" w14:textId="2871B514" w:rsidR="007E7F7B" w:rsidRDefault="007E7F7B" w:rsidP="00984C67">
            <w:pPr>
              <w:cnfStyle w:val="000000000000" w:firstRow="0" w:lastRow="0" w:firstColumn="0" w:lastColumn="0" w:oddVBand="0" w:evenVBand="0" w:oddHBand="0" w:evenHBand="0" w:firstRowFirstColumn="0" w:firstRowLastColumn="0" w:lastRowFirstColumn="0" w:lastRowLastColumn="0"/>
            </w:pPr>
            <w:r>
              <w:t>£</w:t>
            </w:r>
            <w:r w:rsidR="1706F4E8">
              <w:t>15,235.38</w:t>
            </w:r>
          </w:p>
        </w:tc>
      </w:tr>
      <w:tr w:rsidR="4FC266DD" w14:paraId="034EE047"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79B715D4" w14:textId="63FB348A" w:rsidR="2C125C42" w:rsidRDefault="2C125C42">
            <w:proofErr w:type="spellStart"/>
            <w:r>
              <w:t>Strathallan</w:t>
            </w:r>
            <w:proofErr w:type="spellEnd"/>
          </w:p>
        </w:tc>
        <w:tc>
          <w:tcPr>
            <w:tcW w:w="3081" w:type="dxa"/>
          </w:tcPr>
          <w:p w14:paraId="3C34276D" w14:textId="03C8BB16" w:rsidR="4FC266DD" w:rsidRDefault="080D3B35" w:rsidP="3024B7FD">
            <w:pPr>
              <w:cnfStyle w:val="000000000000" w:firstRow="0" w:lastRow="0" w:firstColumn="0" w:lastColumn="0" w:oddVBand="0" w:evenVBand="0" w:oddHBand="0" w:evenHBand="0" w:firstRowFirstColumn="0" w:firstRowLastColumn="0" w:lastRowFirstColumn="0" w:lastRowLastColumn="0"/>
            </w:pPr>
            <w:r>
              <w:t>£16,101.87</w:t>
            </w:r>
          </w:p>
        </w:tc>
      </w:tr>
      <w:tr w:rsidR="007E7F7B" w14:paraId="2D0B2BB3"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5D29FC61" w14:textId="13845E06" w:rsidR="007E7F7B" w:rsidRDefault="007E7F7B" w:rsidP="00984C67">
            <w:r>
              <w:t>Kinross-shire</w:t>
            </w:r>
          </w:p>
        </w:tc>
        <w:tc>
          <w:tcPr>
            <w:tcW w:w="3081" w:type="dxa"/>
          </w:tcPr>
          <w:p w14:paraId="2EC3EA95" w14:textId="2343473F" w:rsidR="007E7F7B" w:rsidRDefault="064230FB" w:rsidP="00984C67">
            <w:pPr>
              <w:cnfStyle w:val="000000000000" w:firstRow="0" w:lastRow="0" w:firstColumn="0" w:lastColumn="0" w:oddVBand="0" w:evenVBand="0" w:oddHBand="0" w:evenHBand="0" w:firstRowFirstColumn="0" w:firstRowLastColumn="0" w:lastRowFirstColumn="0" w:lastRowLastColumn="0"/>
            </w:pPr>
            <w:r>
              <w:t>£17,686.45</w:t>
            </w:r>
          </w:p>
        </w:tc>
      </w:tr>
      <w:tr w:rsidR="007E7F7B" w14:paraId="27F34C23"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0A61BAD4" w14:textId="11BA0452" w:rsidR="007E7F7B" w:rsidRDefault="007E7F7B" w:rsidP="00984C67">
            <w:r>
              <w:t xml:space="preserve">Almond and </w:t>
            </w:r>
            <w:proofErr w:type="gramStart"/>
            <w:r>
              <w:t>Earn</w:t>
            </w:r>
            <w:proofErr w:type="gramEnd"/>
          </w:p>
        </w:tc>
        <w:tc>
          <w:tcPr>
            <w:tcW w:w="3081" w:type="dxa"/>
          </w:tcPr>
          <w:p w14:paraId="62490FE2" w14:textId="344247AD" w:rsidR="007E7F7B" w:rsidRDefault="007E7F7B" w:rsidP="00984C67">
            <w:pPr>
              <w:cnfStyle w:val="000000000000" w:firstRow="0" w:lastRow="0" w:firstColumn="0" w:lastColumn="0" w:oddVBand="0" w:evenVBand="0" w:oddHBand="0" w:evenHBand="0" w:firstRowFirstColumn="0" w:firstRowLastColumn="0" w:lastRowFirstColumn="0" w:lastRowLastColumn="0"/>
            </w:pPr>
            <w:r>
              <w:t>£</w:t>
            </w:r>
            <w:r w:rsidR="66E2EEDD">
              <w:t>15,065.13</w:t>
            </w:r>
          </w:p>
        </w:tc>
      </w:tr>
      <w:tr w:rsidR="007E7F7B" w14:paraId="7B1604EA"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4D1D6EA9" w14:textId="6A737B12" w:rsidR="007E7F7B" w:rsidRDefault="007E7F7B" w:rsidP="00984C67">
            <w:r>
              <w:t>Perth City South</w:t>
            </w:r>
          </w:p>
        </w:tc>
        <w:tc>
          <w:tcPr>
            <w:tcW w:w="3081" w:type="dxa"/>
          </w:tcPr>
          <w:p w14:paraId="7D2B2421" w14:textId="78FD5D29" w:rsidR="007E7F7B" w:rsidRDefault="46C2C366" w:rsidP="00984C67">
            <w:pPr>
              <w:cnfStyle w:val="000000000000" w:firstRow="0" w:lastRow="0" w:firstColumn="0" w:lastColumn="0" w:oddVBand="0" w:evenVBand="0" w:oddHBand="0" w:evenHBand="0" w:firstRowFirstColumn="0" w:firstRowLastColumn="0" w:lastRowFirstColumn="0" w:lastRowLastColumn="0"/>
            </w:pPr>
            <w:r>
              <w:t>£19,357.15</w:t>
            </w:r>
          </w:p>
        </w:tc>
      </w:tr>
      <w:tr w:rsidR="06223615" w14:paraId="3CCD735B"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5837B201" w14:textId="0AF6B949" w:rsidR="46C2C366" w:rsidRDefault="46C2C366">
            <w:r>
              <w:t>Perth City North</w:t>
            </w:r>
          </w:p>
        </w:tc>
        <w:tc>
          <w:tcPr>
            <w:tcW w:w="3081" w:type="dxa"/>
          </w:tcPr>
          <w:p w14:paraId="58C06E55" w14:textId="4EF5FAD5" w:rsidR="06223615" w:rsidRDefault="46C2C366" w:rsidP="508AEB6E">
            <w:pPr>
              <w:cnfStyle w:val="000000000000" w:firstRow="0" w:lastRow="0" w:firstColumn="0" w:lastColumn="0" w:oddVBand="0" w:evenVBand="0" w:oddHBand="0" w:evenHBand="0" w:firstRowFirstColumn="0" w:firstRowLastColumn="0" w:lastRowFirstColumn="0" w:lastRowLastColumn="0"/>
            </w:pPr>
            <w:r>
              <w:t>£16,533.79</w:t>
            </w:r>
          </w:p>
        </w:tc>
      </w:tr>
      <w:tr w:rsidR="06223615" w14:paraId="7CEE8B9D"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4AF80228" w14:textId="49C60DED" w:rsidR="46C2C366" w:rsidRDefault="46C2C366">
            <w:r>
              <w:t>Perth City Centre</w:t>
            </w:r>
          </w:p>
          <w:p w14:paraId="1ABB256F" w14:textId="5ADAD7E8" w:rsidR="06223615" w:rsidRDefault="06223615" w:rsidP="06223615"/>
        </w:tc>
        <w:tc>
          <w:tcPr>
            <w:tcW w:w="3081" w:type="dxa"/>
          </w:tcPr>
          <w:p w14:paraId="67FED191" w14:textId="6D021317" w:rsidR="06223615" w:rsidRDefault="46C2C366" w:rsidP="160B5C5A">
            <w:pPr>
              <w:cnfStyle w:val="000000000000" w:firstRow="0" w:lastRow="0" w:firstColumn="0" w:lastColumn="0" w:oddVBand="0" w:evenVBand="0" w:oddHBand="0" w:evenHBand="0" w:firstRowFirstColumn="0" w:firstRowLastColumn="0" w:lastRowFirstColumn="0" w:lastRowLastColumn="0"/>
            </w:pPr>
            <w:r>
              <w:t>£20,030.19</w:t>
            </w:r>
          </w:p>
        </w:tc>
      </w:tr>
      <w:tr w:rsidR="160B5C5A" w14:paraId="2266B6F9" w14:textId="77777777" w:rsidTr="160B5C5A">
        <w:trPr>
          <w:trHeight w:val="300"/>
        </w:trPr>
        <w:tc>
          <w:tcPr>
            <w:cnfStyle w:val="001000000000" w:firstRow="0" w:lastRow="0" w:firstColumn="1" w:lastColumn="0" w:oddVBand="0" w:evenVBand="0" w:oddHBand="0" w:evenHBand="0" w:firstRowFirstColumn="0" w:firstRowLastColumn="0" w:lastRowFirstColumn="0" w:lastRowLastColumn="0"/>
            <w:tcW w:w="3081" w:type="dxa"/>
          </w:tcPr>
          <w:p w14:paraId="723470C6" w14:textId="7488E133" w:rsidR="46C2C366" w:rsidRDefault="46C2C366" w:rsidP="160B5C5A">
            <w:r>
              <w:t>Total</w:t>
            </w:r>
          </w:p>
        </w:tc>
        <w:tc>
          <w:tcPr>
            <w:tcW w:w="3081" w:type="dxa"/>
          </w:tcPr>
          <w:p w14:paraId="5A3BAEFD" w14:textId="1BC14FBA" w:rsidR="46C2C366" w:rsidRDefault="46C2C366">
            <w:pPr>
              <w:cnfStyle w:val="000000000000" w:firstRow="0" w:lastRow="0" w:firstColumn="0" w:lastColumn="0" w:oddVBand="0" w:evenVBand="0" w:oddHBand="0" w:evenHBand="0" w:firstRowFirstColumn="0" w:firstRowLastColumn="0" w:lastRowFirstColumn="0" w:lastRowLastColumn="0"/>
            </w:pPr>
            <w:r>
              <w:t>£199,999.96</w:t>
            </w:r>
          </w:p>
        </w:tc>
      </w:tr>
    </w:tbl>
    <w:p w14:paraId="4DB0F0A9" w14:textId="67676969" w:rsidR="00984C67" w:rsidRDefault="00984C67" w:rsidP="00984C67"/>
    <w:p w14:paraId="278C2DE9" w14:textId="77777777" w:rsidR="006F1898" w:rsidRDefault="006F1898" w:rsidP="006F1898">
      <w:pPr>
        <w:rPr>
          <w:rFonts w:ascii="Segoe UI" w:eastAsia="Segoe UI" w:hAnsi="Segoe UI" w:cs="Segoe UI"/>
          <w:color w:val="000000" w:themeColor="text1"/>
          <w:sz w:val="21"/>
          <w:szCs w:val="21"/>
        </w:rPr>
      </w:pPr>
      <w:r>
        <w:t xml:space="preserve">If you’re not sure which Ward you’re in you can use the map </w:t>
      </w:r>
      <w:hyperlink r:id="rId12">
        <w:r w:rsidRPr="538C7C83">
          <w:rPr>
            <w:rStyle w:val="Hyperlink"/>
            <w:rFonts w:ascii="Segoe UI" w:eastAsia="Segoe UI" w:hAnsi="Segoe UI" w:cs="Segoe UI"/>
            <w:sz w:val="21"/>
            <w:szCs w:val="21"/>
          </w:rPr>
          <w:t>https://www.pkc.gov.uk/article/19845/Map-of-Electoral-and-Community-Council-boundaries</w:t>
        </w:r>
      </w:hyperlink>
      <w:r w:rsidRPr="538C7C83">
        <w:rPr>
          <w:rFonts w:ascii="Segoe UI" w:eastAsia="Segoe UI" w:hAnsi="Segoe UI" w:cs="Segoe UI"/>
          <w:color w:val="000000" w:themeColor="text1"/>
          <w:sz w:val="21"/>
          <w:szCs w:val="21"/>
        </w:rPr>
        <w:t xml:space="preserve"> or postcode checker to identify your Ward </w:t>
      </w:r>
      <w:hyperlink r:id="rId13">
        <w:r w:rsidRPr="538C7C83">
          <w:rPr>
            <w:rStyle w:val="Hyperlink"/>
            <w:rFonts w:ascii="Segoe UI" w:eastAsia="Segoe UI" w:hAnsi="Segoe UI" w:cs="Segoe UI"/>
            <w:sz w:val="21"/>
            <w:szCs w:val="21"/>
          </w:rPr>
          <w:t>https://www.pkc.gov.uk/article/15505/Find-your-local-councillor</w:t>
        </w:r>
      </w:hyperlink>
      <w:r w:rsidRPr="538C7C83">
        <w:rPr>
          <w:rFonts w:ascii="Segoe UI" w:eastAsia="Segoe UI" w:hAnsi="Segoe UI" w:cs="Segoe UI"/>
          <w:color w:val="000000" w:themeColor="text1"/>
          <w:sz w:val="21"/>
          <w:szCs w:val="21"/>
        </w:rPr>
        <w:t>.</w:t>
      </w:r>
    </w:p>
    <w:p w14:paraId="45C019DF" w14:textId="2B4B6D46" w:rsidR="56F49B2D" w:rsidRDefault="56F49B2D" w:rsidP="74AD641D">
      <w:r>
        <w:t xml:space="preserve">Should a proposal involve more than one Ward, groups are advised to select the main ward impacted and clarify any other Ward(s) impacted using the text box provided in the relevant application form section.  When reviewing the applications prior to voting, if the </w:t>
      </w:r>
      <w:r w:rsidR="4ECE93AE">
        <w:t>project spans multiple wards</w:t>
      </w:r>
      <w:r w:rsidR="644134E7">
        <w:t xml:space="preserve"> or is Perth &amp; Kinross-wide</w:t>
      </w:r>
      <w:r w:rsidR="2DA0ED38">
        <w:t>, PKC</w:t>
      </w:r>
      <w:r w:rsidR="4ECE93AE">
        <w:t xml:space="preserve"> will consider the</w:t>
      </w:r>
      <w:r w:rsidR="2FAF9557">
        <w:t xml:space="preserve"> distribution of proposals across wards and discuss with the ap</w:t>
      </w:r>
      <w:r w:rsidR="03DE66C4">
        <w:t xml:space="preserve">plicant if it might be appropriate to change which ward </w:t>
      </w:r>
      <w:r w:rsidR="3BEA887B">
        <w:t xml:space="preserve">the application was classified under or to divide the project between wards. </w:t>
      </w:r>
    </w:p>
    <w:p w14:paraId="1220C0EA" w14:textId="0E85B66D" w:rsidR="5C53C194" w:rsidRDefault="5C53C194" w:rsidP="109F03DF">
      <w:r>
        <w:t xml:space="preserve">Funds can cover capital or revenue </w:t>
      </w:r>
      <w:proofErr w:type="gramStart"/>
      <w:r w:rsidR="595BD310">
        <w:t>expenditure</w:t>
      </w:r>
      <w:proofErr w:type="gramEnd"/>
      <w:r w:rsidR="595BD310">
        <w:t xml:space="preserve"> and all funding should be used for public benefit. Funding should cover additional costs incurred by the organisation</w:t>
      </w:r>
      <w:r w:rsidR="07C4AA03">
        <w:t xml:space="preserve"> </w:t>
      </w:r>
      <w:r w:rsidR="008351D0">
        <w:t xml:space="preserve">for delivery of this project </w:t>
      </w:r>
      <w:r w:rsidR="07C4AA03">
        <w:t>and should not costs for staff time</w:t>
      </w:r>
      <w:r w:rsidR="008351D0">
        <w:t xml:space="preserve"> or materials</w:t>
      </w:r>
      <w:r w:rsidR="07C4AA03">
        <w:t xml:space="preserve"> covered under existing contracts.</w:t>
      </w:r>
    </w:p>
    <w:p w14:paraId="770EF53D" w14:textId="754EB99C" w:rsidR="2F38F25F" w:rsidRDefault="142474DC" w:rsidP="2F38F25F">
      <w:r>
        <w:t>Funding is expected to be disbursed the week commencing 8 December 2025</w:t>
      </w:r>
      <w:r w:rsidR="4736BAA6">
        <w:t xml:space="preserve"> and should be spent by 31 December 2026. </w:t>
      </w:r>
      <w:r w:rsidR="008351D0">
        <w:t xml:space="preserve"> Unspent funding b</w:t>
      </w:r>
      <w:r w:rsidR="00A32410">
        <w:t>y 31 December 2026 MUST be returned to the Council</w:t>
      </w:r>
      <w:r>
        <w:t xml:space="preserve"> </w:t>
      </w:r>
      <w:r w:rsidR="00A32410">
        <w:t>unless prior agreement</w:t>
      </w:r>
      <w:r w:rsidR="00A32410">
        <w:t xml:space="preserve"> for an extension</w:t>
      </w:r>
      <w:r w:rsidR="00A32410">
        <w:t xml:space="preserve"> is reached with the Council</w:t>
      </w:r>
      <w:r w:rsidR="00A32410">
        <w:t xml:space="preserve"> in exceptional circumstances.</w:t>
      </w:r>
    </w:p>
    <w:p w14:paraId="47628E9A" w14:textId="24117A0E" w:rsidR="3BEA887B" w:rsidRDefault="3BEA887B" w:rsidP="74AD641D">
      <w:pPr>
        <w:rPr>
          <w:b/>
          <w:bCs/>
        </w:rPr>
      </w:pPr>
      <w:r w:rsidRPr="4DC35A87">
        <w:rPr>
          <w:b/>
          <w:bCs/>
        </w:rPr>
        <w:t>Fairer Communities for All</w:t>
      </w:r>
    </w:p>
    <w:p w14:paraId="78E4F64D" w14:textId="77777777" w:rsidR="00EB6803" w:rsidRDefault="01AB74AB" w:rsidP="6FAADF70">
      <w:r>
        <w:t>As there are two PKC community funding oppor</w:t>
      </w:r>
      <w:r w:rsidR="6B3CA5FE">
        <w:t>tunities</w:t>
      </w:r>
      <w:r>
        <w:t xml:space="preserve"> running in parallel</w:t>
      </w:r>
      <w:r w:rsidR="2EBCD462">
        <w:t xml:space="preserve">, </w:t>
      </w:r>
      <w:r w:rsidR="7A5E11EE">
        <w:t>w</w:t>
      </w:r>
      <w:r>
        <w:t>hen reviewing applications</w:t>
      </w:r>
      <w:r w:rsidR="1EC54DE6">
        <w:t xml:space="preserve"> to </w:t>
      </w:r>
      <w:r w:rsidR="73C531E3">
        <w:t>the Fairer Communities for All and Green Living Fund</w:t>
      </w:r>
      <w:r w:rsidR="1EC54DE6">
        <w:t>, PKC reserves the right to transfer</w:t>
      </w:r>
      <w:r w:rsidR="5CD16D5C">
        <w:t xml:space="preserve"> applications from either fund to the other prior to voting, following agreement from the applicant, if this would be a more suitable fund for the project. </w:t>
      </w:r>
      <w:r w:rsidR="1EC54DE6">
        <w:t xml:space="preserve">  </w:t>
      </w:r>
    </w:p>
    <w:p w14:paraId="790D1512" w14:textId="0E6A7BC1" w:rsidR="727B0B64" w:rsidRDefault="008337B2" w:rsidP="6FAADF70">
      <w:r>
        <w:lastRenderedPageBreak/>
        <w:t>Individual p</w:t>
      </w:r>
      <w:r w:rsidR="3F8D5482">
        <w:t xml:space="preserve">rojects </w:t>
      </w:r>
      <w:r w:rsidR="1DD24199">
        <w:t xml:space="preserve">will only be put forward for public voting for one of the funds. </w:t>
      </w:r>
      <w:r w:rsidR="3F8D5482">
        <w:t xml:space="preserve"> </w:t>
      </w:r>
      <w:r w:rsidR="00EB6803">
        <w:t>Community groups</w:t>
      </w:r>
      <w:r w:rsidR="001F7102">
        <w:t xml:space="preserve"> </w:t>
      </w:r>
      <w:proofErr w:type="gramStart"/>
      <w:r w:rsidR="001F7102">
        <w:t>are able to</w:t>
      </w:r>
      <w:proofErr w:type="gramEnd"/>
      <w:r w:rsidR="001F7102">
        <w:t xml:space="preserve"> apply for both funds if they have two separate projects. </w:t>
      </w:r>
    </w:p>
    <w:p w14:paraId="512548DC" w14:textId="30EE320B" w:rsidR="32B83B40" w:rsidRDefault="32B83B40" w:rsidP="32B83B40">
      <w:pPr>
        <w:rPr>
          <w:b/>
          <w:bCs/>
        </w:rPr>
      </w:pPr>
    </w:p>
    <w:p w14:paraId="252B0FB4" w14:textId="48053071" w:rsidR="00571C29" w:rsidRDefault="00571C29" w:rsidP="00984C67">
      <w:pPr>
        <w:rPr>
          <w:b/>
          <w:bCs/>
        </w:rPr>
      </w:pPr>
      <w:r w:rsidRPr="00571C29">
        <w:rPr>
          <w:b/>
          <w:bCs/>
        </w:rPr>
        <w:t>Criteria</w:t>
      </w:r>
    </w:p>
    <w:p w14:paraId="197818ED" w14:textId="77777777" w:rsidR="00E939D1" w:rsidRPr="00E939D1" w:rsidRDefault="00E939D1" w:rsidP="00984C67">
      <w:r>
        <w:t xml:space="preserve">As mentioned above, the Fund is looking to support proposals aiming to deliver against one or more of the following five categories. </w:t>
      </w:r>
    </w:p>
    <w:tbl>
      <w:tblPr>
        <w:tblStyle w:val="GridTable1Light"/>
        <w:tblW w:w="0" w:type="auto"/>
        <w:tblLook w:val="04A0" w:firstRow="1" w:lastRow="0" w:firstColumn="1" w:lastColumn="0" w:noHBand="0" w:noVBand="1"/>
      </w:tblPr>
      <w:tblGrid>
        <w:gridCol w:w="3080"/>
        <w:gridCol w:w="3081"/>
        <w:gridCol w:w="3081"/>
      </w:tblGrid>
      <w:tr w:rsidR="00E939D1" w14:paraId="518F5859" w14:textId="77777777" w:rsidTr="4DC3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8431A93" w14:textId="5F43B32D" w:rsidR="00E939D1" w:rsidRDefault="00E939D1" w:rsidP="00984C67">
            <w:r>
              <w:t>Category</w:t>
            </w:r>
          </w:p>
        </w:tc>
        <w:tc>
          <w:tcPr>
            <w:tcW w:w="3081" w:type="dxa"/>
          </w:tcPr>
          <w:p w14:paraId="715F7029" w14:textId="35D63C48" w:rsidR="00E939D1" w:rsidRDefault="00E939D1" w:rsidP="00984C67">
            <w:pPr>
              <w:cnfStyle w:val="100000000000" w:firstRow="1" w:lastRow="0" w:firstColumn="0" w:lastColumn="0" w:oddVBand="0" w:evenVBand="0" w:oddHBand="0" w:evenHBand="0" w:firstRowFirstColumn="0" w:firstRowLastColumn="0" w:lastRowFirstColumn="0" w:lastRowLastColumn="0"/>
            </w:pPr>
            <w:r>
              <w:t>Description</w:t>
            </w:r>
          </w:p>
        </w:tc>
        <w:tc>
          <w:tcPr>
            <w:tcW w:w="3081" w:type="dxa"/>
          </w:tcPr>
          <w:p w14:paraId="755ED146" w14:textId="59421816" w:rsidR="00E939D1" w:rsidRDefault="00E939D1" w:rsidP="00984C67">
            <w:pPr>
              <w:cnfStyle w:val="100000000000" w:firstRow="1" w:lastRow="0" w:firstColumn="0" w:lastColumn="0" w:oddVBand="0" w:evenVBand="0" w:oddHBand="0" w:evenHBand="0" w:firstRowFirstColumn="0" w:firstRowLastColumn="0" w:lastRowFirstColumn="0" w:lastRowLastColumn="0"/>
            </w:pPr>
            <w:r>
              <w:t>Proposal Ideas</w:t>
            </w:r>
          </w:p>
        </w:tc>
      </w:tr>
      <w:tr w:rsidR="00E939D1" w14:paraId="7190AC20" w14:textId="77777777" w:rsidTr="4DC35A87">
        <w:tc>
          <w:tcPr>
            <w:cnfStyle w:val="001000000000" w:firstRow="0" w:lastRow="0" w:firstColumn="1" w:lastColumn="0" w:oddVBand="0" w:evenVBand="0" w:oddHBand="0" w:evenHBand="0" w:firstRowFirstColumn="0" w:firstRowLastColumn="0" w:lastRowFirstColumn="0" w:lastRowLastColumn="0"/>
            <w:tcW w:w="3080" w:type="dxa"/>
          </w:tcPr>
          <w:p w14:paraId="033D3A28" w14:textId="40416E83" w:rsidR="00E939D1" w:rsidRDefault="00837B18" w:rsidP="00984C67">
            <w:r>
              <w:t>Energy</w:t>
            </w:r>
          </w:p>
        </w:tc>
        <w:tc>
          <w:tcPr>
            <w:tcW w:w="3081" w:type="dxa"/>
          </w:tcPr>
          <w:p w14:paraId="5EECD29E" w14:textId="5ED1D3AF" w:rsidR="00E939D1" w:rsidRDefault="00837B18" w:rsidP="00984C67">
            <w:pPr>
              <w:cnfStyle w:val="000000000000" w:firstRow="0" w:lastRow="0" w:firstColumn="0" w:lastColumn="0" w:oddVBand="0" w:evenVBand="0" w:oddHBand="0" w:evenHBand="0" w:firstRowFirstColumn="0" w:firstRowLastColumn="0" w:lastRowFirstColumn="0" w:lastRowLastColumn="0"/>
            </w:pPr>
            <w:r>
              <w:t>reducing consumption, promoting efficiency</w:t>
            </w:r>
            <w:r w:rsidR="71BE7079">
              <w:t>, expansion of renewables</w:t>
            </w:r>
          </w:p>
        </w:tc>
        <w:tc>
          <w:tcPr>
            <w:tcW w:w="3081" w:type="dxa"/>
          </w:tcPr>
          <w:p w14:paraId="3E58D92F" w14:textId="3B7701AC" w:rsidR="00E939D1" w:rsidRDefault="00837B18" w:rsidP="00984C67">
            <w:pPr>
              <w:cnfStyle w:val="000000000000" w:firstRow="0" w:lastRow="0" w:firstColumn="0" w:lastColumn="0" w:oddVBand="0" w:evenVBand="0" w:oddHBand="0" w:evenHBand="0" w:firstRowFirstColumn="0" w:firstRowLastColumn="0" w:lastRowFirstColumn="0" w:lastRowLastColumn="0"/>
            </w:pPr>
            <w:r>
              <w:t>Community Energy Generation</w:t>
            </w:r>
          </w:p>
        </w:tc>
      </w:tr>
      <w:tr w:rsidR="00E939D1" w14:paraId="4D7B449F" w14:textId="77777777" w:rsidTr="4DC35A87">
        <w:tc>
          <w:tcPr>
            <w:cnfStyle w:val="001000000000" w:firstRow="0" w:lastRow="0" w:firstColumn="1" w:lastColumn="0" w:oddVBand="0" w:evenVBand="0" w:oddHBand="0" w:evenHBand="0" w:firstRowFirstColumn="0" w:firstRowLastColumn="0" w:lastRowFirstColumn="0" w:lastRowLastColumn="0"/>
            <w:tcW w:w="3080" w:type="dxa"/>
          </w:tcPr>
          <w:p w14:paraId="56282F79" w14:textId="3EA83330" w:rsidR="00E939D1" w:rsidRDefault="00837B18" w:rsidP="00984C67">
            <w:r>
              <w:t>Transport</w:t>
            </w:r>
          </w:p>
        </w:tc>
        <w:tc>
          <w:tcPr>
            <w:tcW w:w="3081" w:type="dxa"/>
          </w:tcPr>
          <w:p w14:paraId="5EB22BDE" w14:textId="4E7BC7C4" w:rsidR="00E939D1" w:rsidRDefault="00837B18" w:rsidP="00984C67">
            <w:pPr>
              <w:cnfStyle w:val="000000000000" w:firstRow="0" w:lastRow="0" w:firstColumn="0" w:lastColumn="0" w:oddVBand="0" w:evenVBand="0" w:oddHBand="0" w:evenHBand="0" w:firstRowFirstColumn="0" w:firstRowLastColumn="0" w:lastRowFirstColumn="0" w:lastRowLastColumn="0"/>
            </w:pPr>
            <w:r w:rsidRPr="00837B18">
              <w:t>encouraging active travel, decarbonising transport</w:t>
            </w:r>
          </w:p>
        </w:tc>
        <w:tc>
          <w:tcPr>
            <w:tcW w:w="3081" w:type="dxa"/>
          </w:tcPr>
          <w:p w14:paraId="7449C79A" w14:textId="439E00CA" w:rsidR="00E939D1" w:rsidRDefault="00837B18" w:rsidP="00984C67">
            <w:pPr>
              <w:cnfStyle w:val="000000000000" w:firstRow="0" w:lastRow="0" w:firstColumn="0" w:lastColumn="0" w:oddVBand="0" w:evenVBand="0" w:oddHBand="0" w:evenHBand="0" w:firstRowFirstColumn="0" w:firstRowLastColumn="0" w:lastRowFirstColumn="0" w:lastRowLastColumn="0"/>
            </w:pPr>
            <w:r>
              <w:t>Community Bus; Cycle Hire</w:t>
            </w:r>
          </w:p>
        </w:tc>
      </w:tr>
      <w:tr w:rsidR="00E939D1" w14:paraId="65F7C65F" w14:textId="77777777" w:rsidTr="4DC35A87">
        <w:tc>
          <w:tcPr>
            <w:cnfStyle w:val="001000000000" w:firstRow="0" w:lastRow="0" w:firstColumn="1" w:lastColumn="0" w:oddVBand="0" w:evenVBand="0" w:oddHBand="0" w:evenHBand="0" w:firstRowFirstColumn="0" w:firstRowLastColumn="0" w:lastRowFirstColumn="0" w:lastRowLastColumn="0"/>
            <w:tcW w:w="3080" w:type="dxa"/>
          </w:tcPr>
          <w:p w14:paraId="0D047456" w14:textId="7E11F2EA" w:rsidR="00E939D1" w:rsidRDefault="00837B18" w:rsidP="00984C67">
            <w:r>
              <w:t>Waste</w:t>
            </w:r>
          </w:p>
        </w:tc>
        <w:tc>
          <w:tcPr>
            <w:tcW w:w="3081" w:type="dxa"/>
          </w:tcPr>
          <w:p w14:paraId="7EEFC248" w14:textId="25E35524" w:rsidR="00E939D1" w:rsidRDefault="00837B18" w:rsidP="00984C67">
            <w:pPr>
              <w:cnfStyle w:val="000000000000" w:firstRow="0" w:lastRow="0" w:firstColumn="0" w:lastColumn="0" w:oddVBand="0" w:evenVBand="0" w:oddHBand="0" w:evenHBand="0" w:firstRowFirstColumn="0" w:firstRowLastColumn="0" w:lastRowFirstColumn="0" w:lastRowLastColumn="0"/>
            </w:pPr>
            <w:r w:rsidRPr="00837B18">
              <w:t>reduce, reuse and recycle</w:t>
            </w:r>
          </w:p>
        </w:tc>
        <w:tc>
          <w:tcPr>
            <w:tcW w:w="3081" w:type="dxa"/>
          </w:tcPr>
          <w:p w14:paraId="4EFD4974" w14:textId="5B8412D7" w:rsidR="00E939D1" w:rsidRDefault="00D4386F" w:rsidP="00984C67">
            <w:pPr>
              <w:cnfStyle w:val="000000000000" w:firstRow="0" w:lastRow="0" w:firstColumn="0" w:lastColumn="0" w:oddVBand="0" w:evenVBand="0" w:oddHBand="0" w:evenHBand="0" w:firstRowFirstColumn="0" w:firstRowLastColumn="0" w:lastRowFirstColumn="0" w:lastRowLastColumn="0"/>
            </w:pPr>
            <w:r>
              <w:t xml:space="preserve">Re-use initiatives </w:t>
            </w:r>
          </w:p>
        </w:tc>
      </w:tr>
      <w:tr w:rsidR="00E939D1" w14:paraId="105D4B0F" w14:textId="77777777" w:rsidTr="4DC35A87">
        <w:tc>
          <w:tcPr>
            <w:cnfStyle w:val="001000000000" w:firstRow="0" w:lastRow="0" w:firstColumn="1" w:lastColumn="0" w:oddVBand="0" w:evenVBand="0" w:oddHBand="0" w:evenHBand="0" w:firstRowFirstColumn="0" w:firstRowLastColumn="0" w:lastRowFirstColumn="0" w:lastRowLastColumn="0"/>
            <w:tcW w:w="3080" w:type="dxa"/>
          </w:tcPr>
          <w:p w14:paraId="6D82258B" w14:textId="3DAC60B2" w:rsidR="00E939D1" w:rsidRDefault="00837B18" w:rsidP="00984C67">
            <w:r>
              <w:t>Resilience</w:t>
            </w:r>
          </w:p>
        </w:tc>
        <w:tc>
          <w:tcPr>
            <w:tcW w:w="3081" w:type="dxa"/>
          </w:tcPr>
          <w:p w14:paraId="34E72914" w14:textId="0958ED0C" w:rsidR="00E939D1" w:rsidRDefault="4B34C3E9" w:rsidP="44735DB1">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rPr>
            </w:pPr>
            <w:r w:rsidRPr="44735DB1">
              <w:rPr>
                <w:rFonts w:ascii="Segoe UI" w:eastAsia="Segoe UI" w:hAnsi="Segoe UI" w:cs="Segoe UI"/>
                <w:color w:val="000000" w:themeColor="text1"/>
                <w:sz w:val="21"/>
                <w:szCs w:val="21"/>
              </w:rPr>
              <w:t>adapting to changing conditions – including flooding, drought</w:t>
            </w:r>
            <w:r w:rsidR="00837B18">
              <w:br/>
            </w:r>
            <w:r w:rsidRPr="44735DB1">
              <w:rPr>
                <w:rFonts w:ascii="Segoe UI" w:eastAsia="Segoe UI" w:hAnsi="Segoe UI" w:cs="Segoe UI"/>
                <w:color w:val="000000" w:themeColor="text1"/>
                <w:sz w:val="21"/>
                <w:szCs w:val="21"/>
              </w:rPr>
              <w:t>and heat</w:t>
            </w:r>
          </w:p>
        </w:tc>
        <w:tc>
          <w:tcPr>
            <w:tcW w:w="3081" w:type="dxa"/>
          </w:tcPr>
          <w:p w14:paraId="231FA72E" w14:textId="504D686A" w:rsidR="00E939D1" w:rsidRDefault="006C410B" w:rsidP="00984C67">
            <w:pPr>
              <w:cnfStyle w:val="000000000000" w:firstRow="0" w:lastRow="0" w:firstColumn="0" w:lastColumn="0" w:oddVBand="0" w:evenVBand="0" w:oddHBand="0" w:evenHBand="0" w:firstRowFirstColumn="0" w:firstRowLastColumn="0" w:lastRowFirstColumn="0" w:lastRowLastColumn="0"/>
            </w:pPr>
            <w:r w:rsidRPr="006C410B">
              <w:t>flood mitigation projects, community resilience projects set up to respond to climate events</w:t>
            </w:r>
          </w:p>
        </w:tc>
      </w:tr>
      <w:tr w:rsidR="00E939D1" w14:paraId="3878CEA1" w14:textId="77777777" w:rsidTr="4DC35A87">
        <w:tc>
          <w:tcPr>
            <w:cnfStyle w:val="001000000000" w:firstRow="0" w:lastRow="0" w:firstColumn="1" w:lastColumn="0" w:oddVBand="0" w:evenVBand="0" w:oddHBand="0" w:evenHBand="0" w:firstRowFirstColumn="0" w:firstRowLastColumn="0" w:lastRowFirstColumn="0" w:lastRowLastColumn="0"/>
            <w:tcW w:w="3080" w:type="dxa"/>
          </w:tcPr>
          <w:p w14:paraId="66152C87" w14:textId="5E0036BE" w:rsidR="00E939D1" w:rsidRDefault="00837B18" w:rsidP="00984C67">
            <w:r>
              <w:t>Engagement</w:t>
            </w:r>
          </w:p>
        </w:tc>
        <w:tc>
          <w:tcPr>
            <w:tcW w:w="3081" w:type="dxa"/>
          </w:tcPr>
          <w:p w14:paraId="6AAECC81" w14:textId="69F19401" w:rsidR="00E939D1" w:rsidRDefault="73DC422F" w:rsidP="406B5AC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000000" w:themeColor="text1"/>
              </w:rPr>
            </w:pPr>
            <w:r w:rsidRPr="406B5ACF">
              <w:rPr>
                <w:rFonts w:ascii="Segoe UI" w:eastAsia="Segoe UI" w:hAnsi="Segoe UI" w:cs="Segoe UI"/>
                <w:color w:val="000000" w:themeColor="text1"/>
                <w:sz w:val="21"/>
                <w:szCs w:val="21"/>
              </w:rPr>
              <w:t>increasing public awareness and engaging communities</w:t>
            </w:r>
          </w:p>
          <w:p w14:paraId="555A2C14" w14:textId="714FBEB4" w:rsidR="00E939D1" w:rsidRDefault="00E939D1" w:rsidP="00984C67">
            <w:pPr>
              <w:cnfStyle w:val="000000000000" w:firstRow="0" w:lastRow="0" w:firstColumn="0" w:lastColumn="0" w:oddVBand="0" w:evenVBand="0" w:oddHBand="0" w:evenHBand="0" w:firstRowFirstColumn="0" w:firstRowLastColumn="0" w:lastRowFirstColumn="0" w:lastRowLastColumn="0"/>
            </w:pPr>
          </w:p>
        </w:tc>
        <w:tc>
          <w:tcPr>
            <w:tcW w:w="3081" w:type="dxa"/>
          </w:tcPr>
          <w:p w14:paraId="7F59F0D3" w14:textId="1D7F0B56" w:rsidR="00E939D1" w:rsidRDefault="73DC422F" w:rsidP="00984C67">
            <w:pPr>
              <w:cnfStyle w:val="000000000000" w:firstRow="0" w:lastRow="0" w:firstColumn="0" w:lastColumn="0" w:oddVBand="0" w:evenVBand="0" w:oddHBand="0" w:evenHBand="0" w:firstRowFirstColumn="0" w:firstRowLastColumn="0" w:lastRowFirstColumn="0" w:lastRowLastColumn="0"/>
            </w:pPr>
            <w:r>
              <w:t>Community events and workshops; Working with young people and schools</w:t>
            </w:r>
          </w:p>
        </w:tc>
      </w:tr>
      <w:tr w:rsidR="3E3B884A" w14:paraId="16578FA0" w14:textId="77777777" w:rsidTr="4DC35A87">
        <w:trPr>
          <w:trHeight w:val="300"/>
        </w:trPr>
        <w:tc>
          <w:tcPr>
            <w:cnfStyle w:val="001000000000" w:firstRow="0" w:lastRow="0" w:firstColumn="1" w:lastColumn="0" w:oddVBand="0" w:evenVBand="0" w:oddHBand="0" w:evenHBand="0" w:firstRowFirstColumn="0" w:firstRowLastColumn="0" w:lastRowFirstColumn="0" w:lastRowLastColumn="0"/>
            <w:tcW w:w="3080" w:type="dxa"/>
          </w:tcPr>
          <w:p w14:paraId="51E7BA58" w14:textId="2A0E66F3" w:rsidR="63D94A06" w:rsidRDefault="63D94A06" w:rsidP="3E3B884A">
            <w:r>
              <w:t>Nature</w:t>
            </w:r>
          </w:p>
        </w:tc>
        <w:tc>
          <w:tcPr>
            <w:tcW w:w="3081" w:type="dxa"/>
          </w:tcPr>
          <w:p w14:paraId="0242A16B" w14:textId="4B55DDA7" w:rsidR="3E3B884A" w:rsidRDefault="63D94A06" w:rsidP="44735DB1">
            <w:pPr>
              <w:cnfStyle w:val="000000000000" w:firstRow="0" w:lastRow="0" w:firstColumn="0" w:lastColumn="0" w:oddVBand="0" w:evenVBand="0" w:oddHBand="0" w:evenHBand="0" w:firstRowFirstColumn="0" w:firstRowLastColumn="0" w:lastRowFirstColumn="0" w:lastRowLastColumn="0"/>
            </w:pPr>
            <w:r>
              <w:t>Improving greenspace, biodiversity, local food growing</w:t>
            </w:r>
          </w:p>
        </w:tc>
        <w:tc>
          <w:tcPr>
            <w:tcW w:w="3081" w:type="dxa"/>
          </w:tcPr>
          <w:p w14:paraId="03432C96" w14:textId="0ACCA764" w:rsidR="3E3B884A" w:rsidRDefault="63566EE7" w:rsidP="3E3B884A">
            <w:pPr>
              <w:cnfStyle w:val="000000000000" w:firstRow="0" w:lastRow="0" w:firstColumn="0" w:lastColumn="0" w:oddVBand="0" w:evenVBand="0" w:oddHBand="0" w:evenHBand="0" w:firstRowFirstColumn="0" w:firstRowLastColumn="0" w:lastRowFirstColumn="0" w:lastRowLastColumn="0"/>
            </w:pPr>
            <w:r>
              <w:t xml:space="preserve">Orchard creation; hedgerow networks; pollinator </w:t>
            </w:r>
            <w:r w:rsidR="382A28BB">
              <w:t>friendly allotments; green roofs/walls</w:t>
            </w:r>
          </w:p>
        </w:tc>
      </w:tr>
    </w:tbl>
    <w:p w14:paraId="221E6EE4" w14:textId="53414B7E" w:rsidR="326B474F" w:rsidRDefault="326B474F"/>
    <w:p w14:paraId="15625C50" w14:textId="7CAD252D" w:rsidR="00E939D1" w:rsidRPr="00E939D1" w:rsidRDefault="00E939D1" w:rsidP="00984C67"/>
    <w:p w14:paraId="1449D0F0" w14:textId="77777777" w:rsidR="00571C29" w:rsidRPr="00571C29" w:rsidRDefault="00571C29" w:rsidP="00984C67">
      <w:pPr>
        <w:rPr>
          <w:b/>
          <w:bCs/>
        </w:rPr>
      </w:pPr>
    </w:p>
    <w:p w14:paraId="69335525" w14:textId="12E71AD4" w:rsidR="00976DB4" w:rsidRPr="00976DB4" w:rsidRDefault="66F255FA" w:rsidP="00984C67">
      <w:pPr>
        <w:rPr>
          <w:b/>
          <w:bCs/>
          <w:color w:val="FF0000"/>
        </w:rPr>
      </w:pPr>
      <w:r w:rsidRPr="6B58ECD7">
        <w:rPr>
          <w:b/>
          <w:bCs/>
        </w:rPr>
        <w:t xml:space="preserve">Timeline </w:t>
      </w:r>
    </w:p>
    <w:p w14:paraId="70A28540" w14:textId="6F7CB0C6" w:rsidR="00976DB4" w:rsidRPr="00976DB4" w:rsidRDefault="658711F5" w:rsidP="00976DB4">
      <w:r>
        <w:t>22 August</w:t>
      </w:r>
      <w:r w:rsidR="00976DB4">
        <w:t xml:space="preserve"> </w:t>
      </w:r>
      <w:r w:rsidR="61D130EB">
        <w:t xml:space="preserve">2025 </w:t>
      </w:r>
      <w:r w:rsidR="00976DB4">
        <w:t xml:space="preserve">– </w:t>
      </w:r>
      <w:r w:rsidR="25C45776">
        <w:t>Call for applications opens</w:t>
      </w:r>
      <w:r w:rsidR="00976DB4">
        <w:t xml:space="preserve">.  </w:t>
      </w:r>
    </w:p>
    <w:p w14:paraId="44CE3CF7" w14:textId="3D1F901F" w:rsidR="4E53E786" w:rsidRDefault="4E53E786">
      <w:r>
        <w:t>03 October 2025 – Submission for applications closes</w:t>
      </w:r>
    </w:p>
    <w:p w14:paraId="35CADBB7" w14:textId="0C9BB8F0" w:rsidR="4E53E786" w:rsidRDefault="4E53E786">
      <w:r>
        <w:t>03 October – 27 October 2025 – Screening of applications by Council</w:t>
      </w:r>
    </w:p>
    <w:p w14:paraId="3AA9D34A" w14:textId="5636DE30" w:rsidR="4E53E786" w:rsidRDefault="4E53E786">
      <w:r>
        <w:t>27 October – 14 November 2025 – Voting open</w:t>
      </w:r>
    </w:p>
    <w:p w14:paraId="4881398D" w14:textId="739061BC" w:rsidR="4E53E786" w:rsidRDefault="4E53E786">
      <w:r>
        <w:t>17 November – 21 November 2025- Final Screening</w:t>
      </w:r>
    </w:p>
    <w:p w14:paraId="71BA3883" w14:textId="6C12E010" w:rsidR="4E53E786" w:rsidRDefault="4E53E786">
      <w:r>
        <w:t>24 November – 29 November – Results evenings</w:t>
      </w:r>
    </w:p>
    <w:p w14:paraId="6A0712BD" w14:textId="00FB5333" w:rsidR="4E53E786" w:rsidRDefault="4E53E786">
      <w:r>
        <w:t>8 Decembe</w:t>
      </w:r>
      <w:r w:rsidR="6CB3C956">
        <w:t xml:space="preserve">r </w:t>
      </w:r>
      <w:r>
        <w:t>– 12 December 2025 – Target date for disbursing funds to successful applicants</w:t>
      </w:r>
    </w:p>
    <w:p w14:paraId="137BB558" w14:textId="550AD4B4" w:rsidR="00976DB4" w:rsidRDefault="00976DB4" w:rsidP="6B58ECD7"/>
    <w:p w14:paraId="21AE150D" w14:textId="02A5F9FB" w:rsidR="00976DB4" w:rsidRDefault="00976DB4" w:rsidP="00976DB4">
      <w:pPr>
        <w:rPr>
          <w:b/>
          <w:bCs/>
        </w:rPr>
      </w:pPr>
      <w:r>
        <w:rPr>
          <w:b/>
          <w:bCs/>
        </w:rPr>
        <w:t>How to apply</w:t>
      </w:r>
    </w:p>
    <w:p w14:paraId="734513BD" w14:textId="6ED94894" w:rsidR="00976DB4" w:rsidRDefault="00976DB4" w:rsidP="4DD476CA">
      <w:r>
        <w:t xml:space="preserve">Once the </w:t>
      </w:r>
      <w:r w:rsidR="484D5BA4">
        <w:t>application</w:t>
      </w:r>
      <w:r>
        <w:t xml:space="preserve"> window opens on </w:t>
      </w:r>
      <w:r w:rsidR="559C0F0B">
        <w:t>22</w:t>
      </w:r>
      <w:r w:rsidR="559C0F0B" w:rsidRPr="4DC35A87">
        <w:rPr>
          <w:vertAlign w:val="superscript"/>
        </w:rPr>
        <w:t>nd</w:t>
      </w:r>
      <w:r w:rsidR="559C0F0B">
        <w:t xml:space="preserve"> August, you will be able to submit your proposal using Microsoft Forms</w:t>
      </w:r>
      <w:r w:rsidR="4FF871E9">
        <w:t xml:space="preserve">. The application form can be accessed at </w:t>
      </w:r>
      <w:r w:rsidR="484D5BA4">
        <w:t>https://forms.office.com/e/ErDfNFyUup</w:t>
      </w:r>
    </w:p>
    <w:p w14:paraId="5986A9A7" w14:textId="526DC20A" w:rsidR="00976DB4" w:rsidRDefault="00A314A3" w:rsidP="2E4534C1">
      <w:r>
        <w:lastRenderedPageBreak/>
        <w:t>Please fill out all the information asked for.</w:t>
      </w:r>
    </w:p>
    <w:p w14:paraId="706D9342" w14:textId="349AB8A5" w:rsidR="00A314A3" w:rsidRDefault="00A314A3" w:rsidP="00976DB4">
      <w:r>
        <w:t>In the ‘Your Project’ section, please consider the following points:</w:t>
      </w:r>
    </w:p>
    <w:p w14:paraId="296238F6" w14:textId="660D7790" w:rsidR="00A314A3" w:rsidRDefault="00A314A3" w:rsidP="00A314A3">
      <w:pPr>
        <w:pStyle w:val="ListParagraph"/>
        <w:numPr>
          <w:ilvl w:val="0"/>
          <w:numId w:val="2"/>
        </w:numPr>
      </w:pPr>
      <w:r>
        <w:t>Describe your project</w:t>
      </w:r>
    </w:p>
    <w:p w14:paraId="721E97BF" w14:textId="1BC30D9E" w:rsidR="00A314A3" w:rsidRDefault="00A314A3" w:rsidP="00A314A3">
      <w:pPr>
        <w:pStyle w:val="ListParagraph"/>
        <w:numPr>
          <w:ilvl w:val="0"/>
          <w:numId w:val="2"/>
        </w:numPr>
      </w:pPr>
      <w:r>
        <w:t>Set out how it will deliver against the criteria you have selected</w:t>
      </w:r>
    </w:p>
    <w:p w14:paraId="5D0A5C0E" w14:textId="6BB432C1" w:rsidR="00A314A3" w:rsidRDefault="00A314A3" w:rsidP="00A314A3">
      <w:pPr>
        <w:pStyle w:val="ListParagraph"/>
        <w:numPr>
          <w:ilvl w:val="0"/>
          <w:numId w:val="2"/>
        </w:numPr>
      </w:pPr>
      <w:r>
        <w:t>How it will improve quality of life in your community</w:t>
      </w:r>
    </w:p>
    <w:p w14:paraId="6145ADF2" w14:textId="02FC821D" w:rsidR="00A314A3" w:rsidRDefault="00A314A3" w:rsidP="00A314A3">
      <w:pPr>
        <w:pStyle w:val="ListParagraph"/>
        <w:numPr>
          <w:ilvl w:val="0"/>
          <w:numId w:val="2"/>
        </w:numPr>
      </w:pPr>
      <w:r>
        <w:t>How it will help people in your community with the cost of living</w:t>
      </w:r>
    </w:p>
    <w:p w14:paraId="5C887C9B" w14:textId="465F1FCC" w:rsidR="5D1DFA9D" w:rsidRDefault="5D1DFA9D" w:rsidP="2D54D00E">
      <w:pPr>
        <w:pStyle w:val="ListParagraph"/>
        <w:numPr>
          <w:ilvl w:val="0"/>
          <w:numId w:val="2"/>
        </w:numPr>
      </w:pPr>
      <w:r>
        <w:t>What the social impact of your project will be</w:t>
      </w:r>
    </w:p>
    <w:p w14:paraId="1304ED26" w14:textId="442DDF32" w:rsidR="00A314A3" w:rsidRDefault="5D1DFA9D" w:rsidP="0A250683">
      <w:pPr>
        <w:pStyle w:val="ListParagraph"/>
        <w:numPr>
          <w:ilvl w:val="0"/>
          <w:numId w:val="2"/>
        </w:numPr>
      </w:pPr>
      <w:r>
        <w:t>What the climate impact of your project will be</w:t>
      </w:r>
    </w:p>
    <w:p w14:paraId="1980842B" w14:textId="4E319C49" w:rsidR="00A314A3" w:rsidRDefault="00A314A3" w:rsidP="4DC35A87"/>
    <w:p w14:paraId="7A972FE1" w14:textId="5379D5E3" w:rsidR="00A314A3" w:rsidRDefault="21369E5E" w:rsidP="238429A3">
      <w:r w:rsidRPr="238429A3">
        <w:rPr>
          <w:rFonts w:ascii="Segoe UI" w:eastAsia="Segoe UI" w:hAnsi="Segoe UI" w:cs="Segoe UI"/>
          <w:color w:val="000000" w:themeColor="text1"/>
          <w:sz w:val="21"/>
          <w:szCs w:val="21"/>
        </w:rPr>
        <w:t xml:space="preserve">Please provide a high-resolution picture of your logo (if available) and any other supporting materials you may wish to include e.g. a video or any other document that may be used during the participatory budgeting process. Please do so by emailing climatechange@pkc.gov.uk using </w:t>
      </w:r>
      <w:r w:rsidRPr="238429A3">
        <w:rPr>
          <w:rFonts w:ascii="Segoe UI" w:eastAsia="Segoe UI" w:hAnsi="Segoe UI" w:cs="Segoe UI"/>
          <w:b/>
          <w:bCs/>
          <w:color w:val="000000" w:themeColor="text1"/>
          <w:sz w:val="21"/>
          <w:szCs w:val="21"/>
        </w:rPr>
        <w:t>GLF 2025</w:t>
      </w:r>
      <w:r w:rsidRPr="238429A3">
        <w:rPr>
          <w:rFonts w:ascii="Segoe UI" w:eastAsia="Segoe UI" w:hAnsi="Segoe UI" w:cs="Segoe UI"/>
          <w:color w:val="000000" w:themeColor="text1"/>
          <w:sz w:val="21"/>
          <w:szCs w:val="21"/>
        </w:rPr>
        <w:t xml:space="preserve"> - </w:t>
      </w:r>
      <w:r w:rsidRPr="238429A3">
        <w:rPr>
          <w:rFonts w:ascii="Segoe UI" w:eastAsia="Segoe UI" w:hAnsi="Segoe UI" w:cs="Segoe UI"/>
          <w:b/>
          <w:bCs/>
          <w:color w:val="000000" w:themeColor="text1"/>
          <w:sz w:val="21"/>
          <w:szCs w:val="21"/>
        </w:rPr>
        <w:t xml:space="preserve">your group name and project </w:t>
      </w:r>
      <w:proofErr w:type="gramStart"/>
      <w:r w:rsidRPr="238429A3">
        <w:rPr>
          <w:rFonts w:ascii="Segoe UI" w:eastAsia="Segoe UI" w:hAnsi="Segoe UI" w:cs="Segoe UI"/>
          <w:b/>
          <w:bCs/>
          <w:color w:val="000000" w:themeColor="text1"/>
          <w:sz w:val="21"/>
          <w:szCs w:val="21"/>
        </w:rPr>
        <w:t>name</w:t>
      </w:r>
      <w:r w:rsidRPr="238429A3">
        <w:rPr>
          <w:rFonts w:ascii="Segoe UI" w:eastAsia="Segoe UI" w:hAnsi="Segoe UI" w:cs="Segoe UI"/>
          <w:color w:val="000000" w:themeColor="text1"/>
          <w:sz w:val="21"/>
          <w:szCs w:val="21"/>
        </w:rPr>
        <w:t xml:space="preserve">  as</w:t>
      </w:r>
      <w:proofErr w:type="gramEnd"/>
      <w:r w:rsidRPr="238429A3">
        <w:rPr>
          <w:rFonts w:ascii="Segoe UI" w:eastAsia="Segoe UI" w:hAnsi="Segoe UI" w:cs="Segoe UI"/>
          <w:color w:val="000000" w:themeColor="text1"/>
          <w:sz w:val="21"/>
          <w:szCs w:val="21"/>
        </w:rPr>
        <w:t xml:space="preserve"> the subject line.</w:t>
      </w:r>
      <w:r>
        <w:t xml:space="preserve"> </w:t>
      </w:r>
      <w:r w:rsidR="6C89C74A">
        <w:t xml:space="preserve">Examples include </w:t>
      </w:r>
      <w:r w:rsidR="52E12438">
        <w:t>a video of group members and locals talking about the anticipated benefits of the proposed project, or photos showing similar work.</w:t>
      </w:r>
    </w:p>
    <w:p w14:paraId="3BC31EC6" w14:textId="76BA8EA7" w:rsidR="00E939D1" w:rsidRDefault="00E939D1" w:rsidP="00A314A3"/>
    <w:p w14:paraId="36C93B7B" w14:textId="66553ABB" w:rsidR="001223BE" w:rsidRDefault="001223BE" w:rsidP="00A314A3">
      <w:pPr>
        <w:rPr>
          <w:b/>
          <w:bCs/>
        </w:rPr>
      </w:pPr>
      <w:r>
        <w:rPr>
          <w:b/>
          <w:bCs/>
        </w:rPr>
        <w:t>Grant Conditions</w:t>
      </w:r>
    </w:p>
    <w:p w14:paraId="38C2396F" w14:textId="2FA67B19" w:rsidR="008A06B7" w:rsidRPr="008A06B7" w:rsidRDefault="008A06B7" w:rsidP="00A314A3">
      <w:r>
        <w:t>As part of applying for the fund, applicants will be asked to confirm the following:</w:t>
      </w:r>
    </w:p>
    <w:p w14:paraId="2E055F7D" w14:textId="19827980" w:rsidR="004C70BB" w:rsidRPr="00DF1849" w:rsidRDefault="006050B0" w:rsidP="00DF1849">
      <w:pPr>
        <w:pStyle w:val="ListParagraph"/>
        <w:numPr>
          <w:ilvl w:val="0"/>
          <w:numId w:val="3"/>
        </w:numPr>
      </w:pPr>
      <w:r w:rsidRPr="00DF1849">
        <w:t>The applying group has a UK bank account or building society account in the legal name of the organisation, with at least two unrelated people who can manage the account</w:t>
      </w:r>
    </w:p>
    <w:p w14:paraId="20C450BD" w14:textId="596FCA96" w:rsidR="006050B0" w:rsidRPr="00DF1849" w:rsidRDefault="006050B0" w:rsidP="00DF1849">
      <w:pPr>
        <w:pStyle w:val="ListParagraph"/>
        <w:numPr>
          <w:ilvl w:val="0"/>
          <w:numId w:val="3"/>
        </w:numPr>
      </w:pPr>
      <w:r w:rsidRPr="00DF1849">
        <w:t xml:space="preserve">Your application for funding will only be considered if Perth and Kinross Council feel the project is viable. All funding should be spent by 31st December 2026. </w:t>
      </w:r>
      <w:proofErr w:type="gramStart"/>
      <w:r w:rsidRPr="00DF1849">
        <w:t>In the event that</w:t>
      </w:r>
      <w:proofErr w:type="gramEnd"/>
      <w:r w:rsidRPr="00DF1849">
        <w:t xml:space="preserve"> any part of the agreed funding is unspent on 31st December 2026, all unspent money MUST be returned to Perth and Kinross Council unless prior approval has been obtained from the Council for a project extension</w:t>
      </w:r>
    </w:p>
    <w:p w14:paraId="45D4EE09" w14:textId="034A0085" w:rsidR="006050B0" w:rsidRPr="00DF1849" w:rsidRDefault="006050B0" w:rsidP="00DF1849">
      <w:pPr>
        <w:pStyle w:val="ListParagraph"/>
        <w:numPr>
          <w:ilvl w:val="0"/>
          <w:numId w:val="3"/>
        </w:numPr>
      </w:pPr>
      <w:r w:rsidRPr="00DF1849">
        <w:t>You agree to keep full written records of what the agreed funding is spent on and to retain original invoices/receipts as proof of expenditure. You will retain all records for a period of 6 years and provide copies promptly to Perth and Kinross Council upon request.</w:t>
      </w:r>
    </w:p>
    <w:p w14:paraId="5442C68D" w14:textId="46D68777" w:rsidR="006050B0" w:rsidRPr="00DF1849" w:rsidRDefault="006050B0" w:rsidP="00DF1849">
      <w:pPr>
        <w:pStyle w:val="ListParagraph"/>
        <w:numPr>
          <w:ilvl w:val="0"/>
          <w:numId w:val="3"/>
        </w:numPr>
      </w:pPr>
      <w:r w:rsidRPr="00DF1849">
        <w:t>You agree to provide a short monitoring report on completion of works being carried out.</w:t>
      </w:r>
    </w:p>
    <w:p w14:paraId="09A9ADDF" w14:textId="2949AE59" w:rsidR="00DC03D5" w:rsidRPr="00DF1849" w:rsidRDefault="00DC03D5" w:rsidP="00DF1849">
      <w:pPr>
        <w:pStyle w:val="ListParagraph"/>
        <w:numPr>
          <w:ilvl w:val="0"/>
          <w:numId w:val="3"/>
        </w:numPr>
      </w:pPr>
      <w:r w:rsidRPr="00DF1849">
        <w:t>In accepting any funding, you are agreeing that your activities will be publicised by Perth and Kinross Council.</w:t>
      </w:r>
    </w:p>
    <w:p w14:paraId="62501F26" w14:textId="50BAB5B5" w:rsidR="00DC03D5" w:rsidRPr="00DF1849" w:rsidRDefault="00DC03D5" w:rsidP="00DF1849">
      <w:pPr>
        <w:pStyle w:val="ListParagraph"/>
        <w:numPr>
          <w:ilvl w:val="0"/>
          <w:numId w:val="3"/>
        </w:numPr>
      </w:pPr>
      <w:r w:rsidRPr="00DF1849">
        <w:t>The Council reserves the right to reject grant applications or claims, or recover grant funding, if it becomes apparent that any of the award conditions are not being met or where the Grantee has outstanding debt due to the Council.</w:t>
      </w:r>
    </w:p>
    <w:p w14:paraId="6372081D" w14:textId="00A0AE22" w:rsidR="00DC03D5" w:rsidRPr="00DF1849" w:rsidRDefault="00DC03D5" w:rsidP="00DF1849">
      <w:pPr>
        <w:pStyle w:val="ListParagraph"/>
        <w:numPr>
          <w:ilvl w:val="0"/>
          <w:numId w:val="3"/>
        </w:numPr>
      </w:pPr>
      <w:r w:rsidRPr="00DF1849">
        <w:t xml:space="preserve">Section 2 of the Local Government Act 1986 prohibits the Council from publishing any material that appears to be designed to affect public support for a political party. The same section also prohibits the Council from awarding funding to organisations for this purpose. By signing this agreement, the Organisation gives a positive assurance that its activities do not promote any views on questions of political controversy which are identifiable as the view of any </w:t>
      </w:r>
      <w:proofErr w:type="gramStart"/>
      <w:r w:rsidRPr="00DF1849">
        <w:t>particular political</w:t>
      </w:r>
      <w:proofErr w:type="gramEnd"/>
      <w:r w:rsidRPr="00DF1849">
        <w:t xml:space="preserve"> party or parties.</w:t>
      </w:r>
    </w:p>
    <w:p w14:paraId="32C06492" w14:textId="15F1480D" w:rsidR="00DC03D5" w:rsidRPr="00DF1849" w:rsidRDefault="00DC03D5" w:rsidP="00DF1849">
      <w:pPr>
        <w:pStyle w:val="ListParagraph"/>
        <w:numPr>
          <w:ilvl w:val="0"/>
          <w:numId w:val="3"/>
        </w:numPr>
      </w:pPr>
      <w:r w:rsidRPr="00DF1849">
        <w:t>The Organisation should ensure that it complies with all relevant legislation relating to their organisation, including all appropriate health and safety requirements.</w:t>
      </w:r>
    </w:p>
    <w:p w14:paraId="4F7A5ECF" w14:textId="77777777" w:rsidR="00DF1849" w:rsidRDefault="00DF1849" w:rsidP="00DF1849">
      <w:pPr>
        <w:pStyle w:val="ListParagraph"/>
        <w:numPr>
          <w:ilvl w:val="0"/>
          <w:numId w:val="3"/>
        </w:numPr>
      </w:pPr>
      <w:r w:rsidRPr="00DF1849">
        <w:t>All organisations are expected to have the following in place:</w:t>
      </w:r>
    </w:p>
    <w:p w14:paraId="45E7300D" w14:textId="77777777" w:rsidR="00DF1849" w:rsidRDefault="00DF1849" w:rsidP="00DF1849">
      <w:pPr>
        <w:pStyle w:val="ListParagraph"/>
        <w:numPr>
          <w:ilvl w:val="1"/>
          <w:numId w:val="3"/>
        </w:numPr>
      </w:pPr>
      <w:r w:rsidRPr="00DF1849">
        <w:lastRenderedPageBreak/>
        <w:t xml:space="preserve">suitable operational and financial management </w:t>
      </w:r>
      <w:proofErr w:type="gramStart"/>
      <w:r w:rsidRPr="00DF1849">
        <w:t>practices;</w:t>
      </w:r>
      <w:proofErr w:type="gramEnd"/>
      <w:r w:rsidRPr="00DF1849">
        <w:t> </w:t>
      </w:r>
    </w:p>
    <w:p w14:paraId="0B8B6DC8" w14:textId="77777777" w:rsidR="00DF1849" w:rsidRDefault="00DF1849" w:rsidP="00DF1849">
      <w:pPr>
        <w:pStyle w:val="ListParagraph"/>
        <w:numPr>
          <w:ilvl w:val="1"/>
          <w:numId w:val="3"/>
        </w:numPr>
      </w:pPr>
      <w:r w:rsidRPr="00DF1849">
        <w:t xml:space="preserve">effective organisational </w:t>
      </w:r>
      <w:proofErr w:type="gramStart"/>
      <w:r w:rsidRPr="00DF1849">
        <w:t>governance;</w:t>
      </w:r>
      <w:proofErr w:type="gramEnd"/>
      <w:r w:rsidRPr="00DF1849">
        <w:t> </w:t>
      </w:r>
    </w:p>
    <w:p w14:paraId="4B192E02" w14:textId="77777777" w:rsidR="000E21CF" w:rsidRDefault="00DF1849" w:rsidP="00DF1849">
      <w:pPr>
        <w:pStyle w:val="ListParagraph"/>
        <w:numPr>
          <w:ilvl w:val="1"/>
          <w:numId w:val="3"/>
        </w:numPr>
      </w:pPr>
      <w:r w:rsidRPr="00DF1849">
        <w:t>auditable record keeping systems; and </w:t>
      </w:r>
    </w:p>
    <w:p w14:paraId="0E7B0DCD" w14:textId="72E93102" w:rsidR="00DF1849" w:rsidRDefault="00DF1849" w:rsidP="000E21CF">
      <w:pPr>
        <w:pStyle w:val="ListParagraph"/>
        <w:numPr>
          <w:ilvl w:val="1"/>
          <w:numId w:val="3"/>
        </w:numPr>
      </w:pPr>
      <w:r w:rsidRPr="00DF1849">
        <w:t>relevant employment, equalities, and safeguarding policies. Safeguarding policies should be specific to the client group/s the organisation is working with and demonstrate an understanding of any risks and how those are to be mitigated.</w:t>
      </w:r>
    </w:p>
    <w:p w14:paraId="225F8E4E" w14:textId="77777777" w:rsidR="008A06B7" w:rsidRDefault="008A06B7" w:rsidP="008A06B7"/>
    <w:p w14:paraId="792A32B7" w14:textId="77777777" w:rsidR="008A06B7" w:rsidRDefault="008A06B7" w:rsidP="008A06B7">
      <w:pPr>
        <w:rPr>
          <w:b/>
          <w:bCs/>
        </w:rPr>
      </w:pPr>
      <w:r w:rsidRPr="00571C29">
        <w:rPr>
          <w:b/>
          <w:bCs/>
        </w:rPr>
        <w:t>How to vote</w:t>
      </w:r>
    </w:p>
    <w:p w14:paraId="62E88646" w14:textId="77777777" w:rsidR="008A06B7" w:rsidRDefault="008A06B7" w:rsidP="008A06B7">
      <w:pPr>
        <w:rPr>
          <w:b/>
          <w:bCs/>
        </w:rPr>
      </w:pPr>
      <w:r>
        <w:t xml:space="preserve">When voting opens, expected in late October 2025, community members will be able to vote using an online platform that will be available via the </w:t>
      </w:r>
      <w:hyperlink r:id="rId14">
        <w:r w:rsidRPr="021B5DA7">
          <w:rPr>
            <w:rStyle w:val="Hyperlink"/>
          </w:rPr>
          <w:t>Perth and Kinross Climate Action Website.</w:t>
        </w:r>
      </w:hyperlink>
      <w:r>
        <w:t xml:space="preserve"> </w:t>
      </w:r>
      <w:r w:rsidRPr="021B5DA7">
        <w:rPr>
          <w:b/>
          <w:bCs/>
        </w:rPr>
        <w:t xml:space="preserve"> </w:t>
      </w:r>
    </w:p>
    <w:p w14:paraId="5C8BC5A5" w14:textId="77777777" w:rsidR="008A06B7" w:rsidRPr="00DF1849" w:rsidRDefault="008A06B7" w:rsidP="008A06B7"/>
    <w:sectPr w:rsidR="008A06B7" w:rsidRPr="00DF184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410D" w14:textId="77777777" w:rsidR="005904DF" w:rsidRDefault="005904DF">
      <w:pPr>
        <w:spacing w:after="0" w:line="240" w:lineRule="auto"/>
      </w:pPr>
      <w:r>
        <w:separator/>
      </w:r>
    </w:p>
  </w:endnote>
  <w:endnote w:type="continuationSeparator" w:id="0">
    <w:p w14:paraId="19119335" w14:textId="77777777" w:rsidR="005904DF" w:rsidRDefault="0059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33CC00" w14:paraId="031B326A" w14:textId="77777777" w:rsidTr="1A33CC00">
      <w:trPr>
        <w:trHeight w:val="300"/>
      </w:trPr>
      <w:tc>
        <w:tcPr>
          <w:tcW w:w="3005" w:type="dxa"/>
        </w:tcPr>
        <w:p w14:paraId="40E819F8" w14:textId="31D41CE4" w:rsidR="1A33CC00" w:rsidRDefault="1A33CC00" w:rsidP="1A33CC00">
          <w:pPr>
            <w:pStyle w:val="Header"/>
            <w:ind w:left="-115"/>
          </w:pPr>
        </w:p>
      </w:tc>
      <w:tc>
        <w:tcPr>
          <w:tcW w:w="3005" w:type="dxa"/>
        </w:tcPr>
        <w:p w14:paraId="79250D7E" w14:textId="4C9A6784" w:rsidR="1A33CC00" w:rsidRDefault="1A33CC00" w:rsidP="1A33CC00">
          <w:pPr>
            <w:pStyle w:val="Header"/>
            <w:jc w:val="center"/>
          </w:pPr>
        </w:p>
      </w:tc>
      <w:tc>
        <w:tcPr>
          <w:tcW w:w="3005" w:type="dxa"/>
        </w:tcPr>
        <w:p w14:paraId="021567AC" w14:textId="323A8956" w:rsidR="1A33CC00" w:rsidRDefault="1A33CC00" w:rsidP="1A33CC00">
          <w:pPr>
            <w:pStyle w:val="Header"/>
            <w:ind w:right="-115"/>
            <w:jc w:val="right"/>
          </w:pPr>
        </w:p>
      </w:tc>
    </w:tr>
  </w:tbl>
  <w:p w14:paraId="3EEAC0AC" w14:textId="4078D54F" w:rsidR="1A33CC00" w:rsidRDefault="1A33CC00" w:rsidP="1A33C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0C3F" w14:textId="77777777" w:rsidR="005904DF" w:rsidRDefault="005904DF">
      <w:pPr>
        <w:spacing w:after="0" w:line="240" w:lineRule="auto"/>
      </w:pPr>
      <w:r>
        <w:separator/>
      </w:r>
    </w:p>
  </w:footnote>
  <w:footnote w:type="continuationSeparator" w:id="0">
    <w:p w14:paraId="402E7138" w14:textId="77777777" w:rsidR="005904DF" w:rsidRDefault="0059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33CC00" w14:paraId="15A5357E" w14:textId="77777777" w:rsidTr="1A33CC00">
      <w:trPr>
        <w:trHeight w:val="300"/>
      </w:trPr>
      <w:tc>
        <w:tcPr>
          <w:tcW w:w="3005" w:type="dxa"/>
        </w:tcPr>
        <w:p w14:paraId="284635D7" w14:textId="6D3B38A1" w:rsidR="1A33CC00" w:rsidRDefault="1A33CC00" w:rsidP="1A33CC00">
          <w:pPr>
            <w:pStyle w:val="Header"/>
            <w:ind w:left="-115"/>
          </w:pPr>
        </w:p>
      </w:tc>
      <w:tc>
        <w:tcPr>
          <w:tcW w:w="3005" w:type="dxa"/>
        </w:tcPr>
        <w:p w14:paraId="176FE82B" w14:textId="3E2E958D" w:rsidR="1A33CC00" w:rsidRDefault="1A33CC00" w:rsidP="1A33CC00">
          <w:pPr>
            <w:pStyle w:val="Header"/>
            <w:jc w:val="center"/>
          </w:pPr>
        </w:p>
      </w:tc>
      <w:tc>
        <w:tcPr>
          <w:tcW w:w="3005" w:type="dxa"/>
        </w:tcPr>
        <w:p w14:paraId="232CF08C" w14:textId="42325B74" w:rsidR="1A33CC00" w:rsidRDefault="1A33CC00" w:rsidP="1A33CC00">
          <w:pPr>
            <w:pStyle w:val="Header"/>
            <w:ind w:right="-115"/>
            <w:jc w:val="right"/>
          </w:pPr>
        </w:p>
      </w:tc>
    </w:tr>
  </w:tbl>
  <w:p w14:paraId="47808C5A" w14:textId="0FA617C3" w:rsidR="1A33CC00" w:rsidRDefault="1A33CC00" w:rsidP="1A33C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54153"/>
    <w:multiLevelType w:val="hybridMultilevel"/>
    <w:tmpl w:val="A5BE0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9320B"/>
    <w:multiLevelType w:val="hybridMultilevel"/>
    <w:tmpl w:val="1168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E42C8"/>
    <w:multiLevelType w:val="hybridMultilevel"/>
    <w:tmpl w:val="5EC0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833157">
    <w:abstractNumId w:val="2"/>
  </w:num>
  <w:num w:numId="2" w16cid:durableId="1984046359">
    <w:abstractNumId w:val="1"/>
  </w:num>
  <w:num w:numId="3" w16cid:durableId="15395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2FC"/>
    <w:rsid w:val="000910A1"/>
    <w:rsid w:val="000E21CF"/>
    <w:rsid w:val="001020B2"/>
    <w:rsid w:val="001223BE"/>
    <w:rsid w:val="0017677A"/>
    <w:rsid w:val="001F7102"/>
    <w:rsid w:val="00280934"/>
    <w:rsid w:val="003154EB"/>
    <w:rsid w:val="00317C67"/>
    <w:rsid w:val="003C31D7"/>
    <w:rsid w:val="00484FF3"/>
    <w:rsid w:val="004C70BB"/>
    <w:rsid w:val="00571C29"/>
    <w:rsid w:val="00585B5B"/>
    <w:rsid w:val="005904DF"/>
    <w:rsid w:val="006050B0"/>
    <w:rsid w:val="00652236"/>
    <w:rsid w:val="006AD49F"/>
    <w:rsid w:val="006C410B"/>
    <w:rsid w:val="006F1898"/>
    <w:rsid w:val="00795E00"/>
    <w:rsid w:val="007B0963"/>
    <w:rsid w:val="007D3700"/>
    <w:rsid w:val="007E7F7B"/>
    <w:rsid w:val="008337B2"/>
    <w:rsid w:val="008351D0"/>
    <w:rsid w:val="00837B18"/>
    <w:rsid w:val="008A06B7"/>
    <w:rsid w:val="0092336C"/>
    <w:rsid w:val="00976DB4"/>
    <w:rsid w:val="00984C67"/>
    <w:rsid w:val="00987FDB"/>
    <w:rsid w:val="009C4C60"/>
    <w:rsid w:val="009F0E6C"/>
    <w:rsid w:val="009F4028"/>
    <w:rsid w:val="00A314A3"/>
    <w:rsid w:val="00A32410"/>
    <w:rsid w:val="00AC2239"/>
    <w:rsid w:val="00B162FC"/>
    <w:rsid w:val="00B21850"/>
    <w:rsid w:val="00B33274"/>
    <w:rsid w:val="00B718EA"/>
    <w:rsid w:val="00C31816"/>
    <w:rsid w:val="00CC22D3"/>
    <w:rsid w:val="00D4386F"/>
    <w:rsid w:val="00D812F6"/>
    <w:rsid w:val="00DC03D5"/>
    <w:rsid w:val="00DF1849"/>
    <w:rsid w:val="00E939D1"/>
    <w:rsid w:val="00E97532"/>
    <w:rsid w:val="00EB6803"/>
    <w:rsid w:val="00ED480F"/>
    <w:rsid w:val="00ED6D91"/>
    <w:rsid w:val="00F81D1C"/>
    <w:rsid w:val="00FA0AA4"/>
    <w:rsid w:val="00FF6820"/>
    <w:rsid w:val="01AB74AB"/>
    <w:rsid w:val="01AE9A00"/>
    <w:rsid w:val="01D9AAC4"/>
    <w:rsid w:val="021B5DA7"/>
    <w:rsid w:val="031D4E60"/>
    <w:rsid w:val="036283F6"/>
    <w:rsid w:val="03DE66C4"/>
    <w:rsid w:val="03DFAC4F"/>
    <w:rsid w:val="04325548"/>
    <w:rsid w:val="05425B6A"/>
    <w:rsid w:val="055FD7B2"/>
    <w:rsid w:val="05B03D26"/>
    <w:rsid w:val="06223615"/>
    <w:rsid w:val="064230FB"/>
    <w:rsid w:val="073D1882"/>
    <w:rsid w:val="076EC240"/>
    <w:rsid w:val="07B7AFCF"/>
    <w:rsid w:val="07C4AA03"/>
    <w:rsid w:val="080D3B35"/>
    <w:rsid w:val="09C88F30"/>
    <w:rsid w:val="0A00E011"/>
    <w:rsid w:val="0A250683"/>
    <w:rsid w:val="0B861057"/>
    <w:rsid w:val="0C25E78C"/>
    <w:rsid w:val="0CF6021B"/>
    <w:rsid w:val="0E112E29"/>
    <w:rsid w:val="0E744193"/>
    <w:rsid w:val="0EDBD3D7"/>
    <w:rsid w:val="0FDB1C1D"/>
    <w:rsid w:val="1060F802"/>
    <w:rsid w:val="109F03DF"/>
    <w:rsid w:val="10B8B2B1"/>
    <w:rsid w:val="10DB6FC9"/>
    <w:rsid w:val="113356D6"/>
    <w:rsid w:val="113CAE72"/>
    <w:rsid w:val="123DAF58"/>
    <w:rsid w:val="12B905F6"/>
    <w:rsid w:val="12E13243"/>
    <w:rsid w:val="137D3B6E"/>
    <w:rsid w:val="141E4079"/>
    <w:rsid w:val="142474DC"/>
    <w:rsid w:val="15BAB8F9"/>
    <w:rsid w:val="15EC8BC2"/>
    <w:rsid w:val="160B5C5A"/>
    <w:rsid w:val="168EC7EF"/>
    <w:rsid w:val="16A521FB"/>
    <w:rsid w:val="1706F4E8"/>
    <w:rsid w:val="17082428"/>
    <w:rsid w:val="17689D9B"/>
    <w:rsid w:val="182E5673"/>
    <w:rsid w:val="1846D489"/>
    <w:rsid w:val="185C28B7"/>
    <w:rsid w:val="19741F7A"/>
    <w:rsid w:val="1A33CC00"/>
    <w:rsid w:val="1BE04FDB"/>
    <w:rsid w:val="1C5F0F88"/>
    <w:rsid w:val="1DBA88BD"/>
    <w:rsid w:val="1DD24199"/>
    <w:rsid w:val="1E87194C"/>
    <w:rsid w:val="1EC54DE6"/>
    <w:rsid w:val="1ED339A7"/>
    <w:rsid w:val="1F6C5B8A"/>
    <w:rsid w:val="200417CD"/>
    <w:rsid w:val="21369E5E"/>
    <w:rsid w:val="213DE565"/>
    <w:rsid w:val="21A64921"/>
    <w:rsid w:val="21D46DF7"/>
    <w:rsid w:val="22026ACD"/>
    <w:rsid w:val="22E93B8E"/>
    <w:rsid w:val="238429A3"/>
    <w:rsid w:val="23C2357E"/>
    <w:rsid w:val="23CCC755"/>
    <w:rsid w:val="2422BC1D"/>
    <w:rsid w:val="24616184"/>
    <w:rsid w:val="25C45776"/>
    <w:rsid w:val="278404A8"/>
    <w:rsid w:val="278A54B2"/>
    <w:rsid w:val="286E7630"/>
    <w:rsid w:val="28F27008"/>
    <w:rsid w:val="294A96A1"/>
    <w:rsid w:val="2A879DBB"/>
    <w:rsid w:val="2A930CA1"/>
    <w:rsid w:val="2B00EE67"/>
    <w:rsid w:val="2C125C42"/>
    <w:rsid w:val="2C5665A4"/>
    <w:rsid w:val="2D54D00E"/>
    <w:rsid w:val="2DA0ED38"/>
    <w:rsid w:val="2DBC4DEE"/>
    <w:rsid w:val="2E2D07DD"/>
    <w:rsid w:val="2E4534C1"/>
    <w:rsid w:val="2E6F5C15"/>
    <w:rsid w:val="2EBCD462"/>
    <w:rsid w:val="2EE8850D"/>
    <w:rsid w:val="2F38F25F"/>
    <w:rsid w:val="2FAF9557"/>
    <w:rsid w:val="300476C8"/>
    <w:rsid w:val="3024B7FD"/>
    <w:rsid w:val="312D6C76"/>
    <w:rsid w:val="31991D99"/>
    <w:rsid w:val="31A71634"/>
    <w:rsid w:val="31B3AEB0"/>
    <w:rsid w:val="31CFD1EC"/>
    <w:rsid w:val="31E9778D"/>
    <w:rsid w:val="320948DB"/>
    <w:rsid w:val="326B474F"/>
    <w:rsid w:val="32B83B40"/>
    <w:rsid w:val="32FD74ED"/>
    <w:rsid w:val="331EC5F5"/>
    <w:rsid w:val="340311AC"/>
    <w:rsid w:val="34BECE76"/>
    <w:rsid w:val="361C7266"/>
    <w:rsid w:val="36333143"/>
    <w:rsid w:val="3768CE90"/>
    <w:rsid w:val="37BDEF42"/>
    <w:rsid w:val="3816486C"/>
    <w:rsid w:val="382A28BB"/>
    <w:rsid w:val="38B4477B"/>
    <w:rsid w:val="397876C1"/>
    <w:rsid w:val="3A5225A7"/>
    <w:rsid w:val="3BEA887B"/>
    <w:rsid w:val="3C548836"/>
    <w:rsid w:val="3D2D7DD3"/>
    <w:rsid w:val="3D44F9BC"/>
    <w:rsid w:val="3D7CD49C"/>
    <w:rsid w:val="3E00A439"/>
    <w:rsid w:val="3E3B884A"/>
    <w:rsid w:val="3E87428A"/>
    <w:rsid w:val="3EEB4563"/>
    <w:rsid w:val="3F8D5482"/>
    <w:rsid w:val="406B5ACF"/>
    <w:rsid w:val="41479E75"/>
    <w:rsid w:val="4197946A"/>
    <w:rsid w:val="41C70E26"/>
    <w:rsid w:val="4210538D"/>
    <w:rsid w:val="425CD968"/>
    <w:rsid w:val="429987D8"/>
    <w:rsid w:val="433182F3"/>
    <w:rsid w:val="44735DB1"/>
    <w:rsid w:val="4518CF67"/>
    <w:rsid w:val="451C5180"/>
    <w:rsid w:val="4615750C"/>
    <w:rsid w:val="468B4C92"/>
    <w:rsid w:val="46ABF0EE"/>
    <w:rsid w:val="46BD5391"/>
    <w:rsid w:val="46C2C366"/>
    <w:rsid w:val="4736BAA6"/>
    <w:rsid w:val="477EC8E3"/>
    <w:rsid w:val="47C5A0C2"/>
    <w:rsid w:val="484D5BA4"/>
    <w:rsid w:val="485F252A"/>
    <w:rsid w:val="49A7FA83"/>
    <w:rsid w:val="4B34C3E9"/>
    <w:rsid w:val="4BBBC9E7"/>
    <w:rsid w:val="4C2A2330"/>
    <w:rsid w:val="4C972E4B"/>
    <w:rsid w:val="4CA6D69F"/>
    <w:rsid w:val="4D783ADD"/>
    <w:rsid w:val="4DC35A87"/>
    <w:rsid w:val="4DD476CA"/>
    <w:rsid w:val="4E165FB9"/>
    <w:rsid w:val="4E53E786"/>
    <w:rsid w:val="4E9FD384"/>
    <w:rsid w:val="4ECE93AE"/>
    <w:rsid w:val="4F205D2A"/>
    <w:rsid w:val="4F594148"/>
    <w:rsid w:val="4FC266DD"/>
    <w:rsid w:val="4FC63333"/>
    <w:rsid w:val="4FF871E9"/>
    <w:rsid w:val="50097182"/>
    <w:rsid w:val="5072D807"/>
    <w:rsid w:val="508AEB6E"/>
    <w:rsid w:val="509FCF94"/>
    <w:rsid w:val="50DA8374"/>
    <w:rsid w:val="5185548B"/>
    <w:rsid w:val="51E8A972"/>
    <w:rsid w:val="52357BAF"/>
    <w:rsid w:val="52B4B9CA"/>
    <w:rsid w:val="52C12382"/>
    <w:rsid w:val="52D16E38"/>
    <w:rsid w:val="52E12438"/>
    <w:rsid w:val="5314DC2A"/>
    <w:rsid w:val="538C7C83"/>
    <w:rsid w:val="541951C8"/>
    <w:rsid w:val="547C4408"/>
    <w:rsid w:val="547F394A"/>
    <w:rsid w:val="549F4FAD"/>
    <w:rsid w:val="55130728"/>
    <w:rsid w:val="554D68D1"/>
    <w:rsid w:val="555E80A4"/>
    <w:rsid w:val="559C0F0B"/>
    <w:rsid w:val="56552E98"/>
    <w:rsid w:val="5667A036"/>
    <w:rsid w:val="569F5801"/>
    <w:rsid w:val="56ECB2BA"/>
    <w:rsid w:val="56F49B2D"/>
    <w:rsid w:val="57084079"/>
    <w:rsid w:val="59556424"/>
    <w:rsid w:val="595BD310"/>
    <w:rsid w:val="59AD172A"/>
    <w:rsid w:val="5A5AE41A"/>
    <w:rsid w:val="5C53C194"/>
    <w:rsid w:val="5CD16D5C"/>
    <w:rsid w:val="5D1DFA9D"/>
    <w:rsid w:val="5D76C53D"/>
    <w:rsid w:val="5D9A5C89"/>
    <w:rsid w:val="5DDCAD12"/>
    <w:rsid w:val="5E58ABD4"/>
    <w:rsid w:val="5EF71594"/>
    <w:rsid w:val="5F274F0E"/>
    <w:rsid w:val="5FDAFB42"/>
    <w:rsid w:val="6050C976"/>
    <w:rsid w:val="614C8644"/>
    <w:rsid w:val="6179868F"/>
    <w:rsid w:val="61D130EB"/>
    <w:rsid w:val="62FFCA80"/>
    <w:rsid w:val="63566EE7"/>
    <w:rsid w:val="63D5CA5C"/>
    <w:rsid w:val="63D94A06"/>
    <w:rsid w:val="642A7457"/>
    <w:rsid w:val="644134E7"/>
    <w:rsid w:val="658711F5"/>
    <w:rsid w:val="65C4BE01"/>
    <w:rsid w:val="666A7080"/>
    <w:rsid w:val="66E2EEDD"/>
    <w:rsid w:val="66F255FA"/>
    <w:rsid w:val="67942ADC"/>
    <w:rsid w:val="67AC2E64"/>
    <w:rsid w:val="6880F785"/>
    <w:rsid w:val="68EE9E49"/>
    <w:rsid w:val="68FE489C"/>
    <w:rsid w:val="69CCE574"/>
    <w:rsid w:val="6A03B0AB"/>
    <w:rsid w:val="6AF94632"/>
    <w:rsid w:val="6B3CA5FE"/>
    <w:rsid w:val="6B502E21"/>
    <w:rsid w:val="6B58ECD7"/>
    <w:rsid w:val="6BEC8615"/>
    <w:rsid w:val="6BFBCC57"/>
    <w:rsid w:val="6C1B9789"/>
    <w:rsid w:val="6C89C74A"/>
    <w:rsid w:val="6C940D00"/>
    <w:rsid w:val="6CB3C956"/>
    <w:rsid w:val="6D48EAAE"/>
    <w:rsid w:val="6D7B25F2"/>
    <w:rsid w:val="6DFD6AFA"/>
    <w:rsid w:val="6E28BF07"/>
    <w:rsid w:val="6E5DF8CC"/>
    <w:rsid w:val="6EAB3FFC"/>
    <w:rsid w:val="6F3657F7"/>
    <w:rsid w:val="6F6A05AD"/>
    <w:rsid w:val="6F736334"/>
    <w:rsid w:val="6FAADF70"/>
    <w:rsid w:val="7030F523"/>
    <w:rsid w:val="714F8BAF"/>
    <w:rsid w:val="7184DA44"/>
    <w:rsid w:val="71B04C7B"/>
    <w:rsid w:val="71BE7079"/>
    <w:rsid w:val="7204F64C"/>
    <w:rsid w:val="726090D6"/>
    <w:rsid w:val="727B0B64"/>
    <w:rsid w:val="7286FDB0"/>
    <w:rsid w:val="733CF192"/>
    <w:rsid w:val="73C531E3"/>
    <w:rsid w:val="73DC422F"/>
    <w:rsid w:val="73DC88EF"/>
    <w:rsid w:val="7447C87B"/>
    <w:rsid w:val="74AD641D"/>
    <w:rsid w:val="74B7DBB6"/>
    <w:rsid w:val="75645A93"/>
    <w:rsid w:val="75AFE61F"/>
    <w:rsid w:val="75C0B9FE"/>
    <w:rsid w:val="764533D9"/>
    <w:rsid w:val="768C7285"/>
    <w:rsid w:val="7776BE73"/>
    <w:rsid w:val="779BC495"/>
    <w:rsid w:val="77EBAAE9"/>
    <w:rsid w:val="78AB08FF"/>
    <w:rsid w:val="7914AA0A"/>
    <w:rsid w:val="79621ED2"/>
    <w:rsid w:val="797E3C75"/>
    <w:rsid w:val="7A2B83A2"/>
    <w:rsid w:val="7A4CFBEC"/>
    <w:rsid w:val="7A5E11EE"/>
    <w:rsid w:val="7ADA7821"/>
    <w:rsid w:val="7B0B03D1"/>
    <w:rsid w:val="7B11CD4F"/>
    <w:rsid w:val="7B13C1FF"/>
    <w:rsid w:val="7BB239DB"/>
    <w:rsid w:val="7BCE59C9"/>
    <w:rsid w:val="7CC6A91B"/>
    <w:rsid w:val="7D78FB49"/>
    <w:rsid w:val="7E0B8C9B"/>
    <w:rsid w:val="7E849306"/>
    <w:rsid w:val="7F2D2BAB"/>
    <w:rsid w:val="7F3FC1A1"/>
    <w:rsid w:val="7FB2E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E867"/>
  <w15:chartTrackingRefBased/>
  <w15:docId w15:val="{BBB3968C-7600-4C9E-ADE9-79130EBA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C67"/>
    <w:pPr>
      <w:ind w:left="720"/>
      <w:contextualSpacing/>
    </w:pPr>
  </w:style>
  <w:style w:type="table" w:styleId="TableGrid">
    <w:name w:val="Table Grid"/>
    <w:basedOn w:val="TableNormal"/>
    <w:uiPriority w:val="39"/>
    <w:rsid w:val="007E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E7F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76DB4"/>
    <w:rPr>
      <w:color w:val="0563C1" w:themeColor="hyperlink"/>
      <w:u w:val="single"/>
    </w:rPr>
  </w:style>
  <w:style w:type="character" w:styleId="UnresolvedMention">
    <w:name w:val="Unresolved Mention"/>
    <w:basedOn w:val="DefaultParagraphFont"/>
    <w:uiPriority w:val="99"/>
    <w:semiHidden/>
    <w:unhideWhenUsed/>
    <w:rsid w:val="00976DB4"/>
    <w:rPr>
      <w:color w:val="605E5C"/>
      <w:shd w:val="clear" w:color="auto" w:fill="E1DFDD"/>
    </w:rPr>
  </w:style>
  <w:style w:type="paragraph" w:styleId="Header">
    <w:name w:val="header"/>
    <w:basedOn w:val="Normal"/>
    <w:uiPriority w:val="99"/>
    <w:unhideWhenUsed/>
    <w:rsid w:val="1A33CC00"/>
    <w:pPr>
      <w:tabs>
        <w:tab w:val="center" w:pos="4680"/>
        <w:tab w:val="right" w:pos="9360"/>
      </w:tabs>
      <w:spacing w:after="0" w:line="240" w:lineRule="auto"/>
    </w:pPr>
  </w:style>
  <w:style w:type="paragraph" w:styleId="Footer">
    <w:name w:val="footer"/>
    <w:basedOn w:val="Normal"/>
    <w:uiPriority w:val="99"/>
    <w:unhideWhenUsed/>
    <w:rsid w:val="1A33CC0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kc.gov.uk/article/15505/Find-your-local-councill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kc.gov.uk/article/19845/Map-of-Electoral-and-Community-Council-bounda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connect.sco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limatechange@pk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kclimateaction.co.uk/blog/green-living-fund-202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E202AAEACF10A41A8BAD40552DD77EF" ma:contentTypeVersion="22" ma:contentTypeDescription="Core EDMS document content type" ma:contentTypeScope="" ma:versionID="ce58b19ab24c6f291dcdd4a7aff6513c">
  <xsd:schema xmlns:xsd="http://www.w3.org/2001/XMLSchema" xmlns:xs="http://www.w3.org/2001/XMLSchema" xmlns:p="http://schemas.microsoft.com/office/2006/metadata/properties" xmlns:ns2="61b76cf5-6a49-4173-8509-fbed794195fc" xmlns:ns3="ce4a946f-d61c-4625-88c4-b2c739298f32" targetNamespace="http://schemas.microsoft.com/office/2006/metadata/properties" ma:root="true" ma:fieldsID="b1e7dd719646d90e7c9617f47026bec0" ns2:_="" ns3:_="">
    <xsd:import namespace="61b76cf5-6a49-4173-8509-fbed794195fc"/>
    <xsd:import namespace="ce4a946f-d61c-4625-88c4-b2c739298f32"/>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_Flow_SignoffStatus" minOccurs="0"/>
                <xsd:element ref="ns3:MediaServiceDateTaken" minOccurs="0"/>
                <xsd:element ref="ns3:MediaLengthInSeconds"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76cf5-6a49-4173-8509-fbed794195f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3a7186b0-8deb-49e3-b99e-a6251c4509f0}" ma:internalName="TaxCatchAll" ma:showField="CatchAllData" ma:web="61b76cf5-6a49-4173-8509-fbed794195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7186b0-8deb-49e3-b99e-a6251c4509f0}" ma:internalName="TaxCatchAllLabel" ma:readOnly="true" ma:showField="CatchAllDataLabel" ma:web="61b76cf5-6a49-4173-8509-fbed794195f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4a946f-d61c-4625-88c4-b2c739298f3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format="Dropdown" ma:internalName="Sign_x002d_off_x0020_status">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planmarkerTaxHTField xmlns="61b76cf5-6a49-4173-8509-fbed794195fc">
      <Terms xmlns="http://schemas.microsoft.com/office/infopath/2007/PartnerControls">
        <TermInfo xmlns="http://schemas.microsoft.com/office/infopath/2007/PartnerControls">
          <TermName xmlns="http://schemas.microsoft.com/office/infopath/2007/PartnerControls">Funding</TermName>
          <TermId xmlns="http://schemas.microsoft.com/office/infopath/2007/PartnerControls">de003865-340f-4e73-ac58-991c0da2f9b2</TermId>
        </TermInfo>
      </Terms>
    </FileplanmarkerTaxHTField>
    <TaxCatchAll xmlns="61b76cf5-6a49-4173-8509-fbed794195fc">
      <Value>47</Value>
    </TaxCatchAll>
    <lcf76f155ced4ddcb4097134ff3c332f xmlns="ce4a946f-d61c-4625-88c4-b2c739298f32">
      <Terms xmlns="http://schemas.microsoft.com/office/infopath/2007/PartnerControls"/>
    </lcf76f155ced4ddcb4097134ff3c332f>
    <Edmsdisposition xmlns="61b76cf5-6a49-4173-8509-fbed794195fc">Open</Edmsdisposition>
    <Edmsdateclosed xmlns="61b76cf5-6a49-4173-8509-fbed794195fc" xsi:nil="true"/>
    <_Flow_SignoffStatus xmlns="ce4a946f-d61c-4625-88c4-b2c739298f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A3954-A63F-4E95-B923-1D301CC9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76cf5-6a49-4173-8509-fbed794195fc"/>
    <ds:schemaRef ds:uri="ce4a946f-d61c-4625-88c4-b2c739298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A1B20-860B-47FE-A533-A5AFF59A61EA}">
  <ds:schemaRefs>
    <ds:schemaRef ds:uri="http://schemas.microsoft.com/office/2006/metadata/properties"/>
    <ds:schemaRef ds:uri="http://schemas.microsoft.com/office/infopath/2007/PartnerControls"/>
    <ds:schemaRef ds:uri="61b76cf5-6a49-4173-8509-fbed794195fc"/>
    <ds:schemaRef ds:uri="ce4a946f-d61c-4625-88c4-b2c739298f32"/>
  </ds:schemaRefs>
</ds:datastoreItem>
</file>

<file path=customXml/itemProps3.xml><?xml version="1.0" encoding="utf-8"?>
<ds:datastoreItem xmlns:ds="http://schemas.openxmlformats.org/officeDocument/2006/customXml" ds:itemID="{557E1904-5144-4AA4-9422-10B3B24C8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Divindy Grant</cp:lastModifiedBy>
  <cp:revision>160</cp:revision>
  <dcterms:created xsi:type="dcterms:W3CDTF">2023-09-26T17:42:00Z</dcterms:created>
  <dcterms:modified xsi:type="dcterms:W3CDTF">2025-09-01T11:23:00Z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47;#Funding|de003865-340f-4e73-ac58-991c0da2f9b2</vt:lpwstr>
  </property>
  <property fmtid="{D5CDD505-2E9C-101B-9397-08002B2CF9AE}" pid="3" name="MediaServiceImageTags">
    <vt:lpwstr/>
  </property>
  <property fmtid="{D5CDD505-2E9C-101B-9397-08002B2CF9AE}" pid="4" name="ContentTypeId">
    <vt:lpwstr>0x0101006303DCE5F3884555ABDE6450E03068EE008E202AAEACF10A41A8BAD40552DD77EF</vt:lpwstr>
  </property>
</Properties>
</file>